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E78B" w14:textId="1694280E" w:rsidR="00B55C25" w:rsidRPr="0010334C" w:rsidRDefault="00B55C25" w:rsidP="0010334C">
      <w:pPr>
        <w:spacing w:before="100" w:beforeAutospacing="1" w:after="100" w:afterAutospacing="1" w:line="240" w:lineRule="auto"/>
        <w:jc w:val="center"/>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Sect</w:t>
      </w:r>
      <w:r w:rsidR="0010334C" w:rsidRPr="0010334C">
        <w:rPr>
          <w:rFonts w:eastAsia="Times New Roman" w:cs="Times New Roman"/>
          <w:kern w:val="0"/>
          <w:sz w:val="24"/>
          <w:szCs w:val="24"/>
          <w:lang w:eastAsia="en-IN" w:bidi="ar-SA"/>
          <w14:ligatures w14:val="none"/>
        </w:rPr>
        <w:t>ion -1 (Law)</w:t>
      </w:r>
    </w:p>
    <w:p w14:paraId="08814D38" w14:textId="5164477A" w:rsidR="00B542CE" w:rsidRPr="0010334C" w:rsidRDefault="00B542CE" w:rsidP="00442755">
      <w:pPr>
        <w:spacing w:before="100" w:beforeAutospacing="1" w:after="100" w:afterAutospacing="1" w:line="240" w:lineRule="auto"/>
        <w:jc w:val="both"/>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 xml:space="preserve">Q1 </w:t>
      </w:r>
    </w:p>
    <w:p w14:paraId="324D8CDC" w14:textId="76263E1B" w:rsidR="00B21E2E" w:rsidRPr="0010334C" w:rsidRDefault="00B21E2E" w:rsidP="00442755">
      <w:pPr>
        <w:spacing w:before="100" w:beforeAutospacing="1" w:after="100" w:afterAutospacing="1" w:line="240" w:lineRule="auto"/>
        <w:jc w:val="both"/>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The Right to Health is an integral part of the Right to Life under Article 21 of the Constitution of India. Though not explicitly mentioned, the Supreme Court has, through a series of landmark judgments, expanded the scope of Article 21 to include the right to healthcare.</w:t>
      </w:r>
      <w:r w:rsidR="00782C80" w:rsidRPr="0010334C">
        <w:rPr>
          <w:rFonts w:eastAsia="Times New Roman" w:cs="Times New Roman"/>
          <w:kern w:val="0"/>
          <w:sz w:val="24"/>
          <w:szCs w:val="24"/>
          <w:lang w:eastAsia="en-IN" w:bidi="ar-SA"/>
          <w14:ligatures w14:val="none"/>
        </w:rPr>
        <w:t xml:space="preserve"> </w:t>
      </w:r>
      <w:r w:rsidR="00442755" w:rsidRPr="0010334C">
        <w:rPr>
          <w:rFonts w:eastAsia="Times New Roman" w:cs="Times New Roman"/>
          <w:kern w:val="0"/>
          <w:sz w:val="24"/>
          <w:szCs w:val="24"/>
          <w:lang w:eastAsia="en-IN" w:bidi="ar-SA"/>
          <w14:ligatures w14:val="none"/>
        </w:rPr>
        <w:t>In</w:t>
      </w:r>
      <w:r w:rsidRPr="0010334C">
        <w:rPr>
          <w:rFonts w:eastAsia="Times New Roman" w:cs="Times New Roman"/>
          <w:kern w:val="0"/>
          <w:sz w:val="24"/>
          <w:szCs w:val="24"/>
          <w:lang w:eastAsia="en-IN" w:bidi="ar-SA"/>
          <w14:ligatures w14:val="none"/>
        </w:rPr>
        <w:t xml:space="preserve"> the case of Paschim Banga Khet Mazdoor Samity v. State of West Bengal (1996</w:t>
      </w:r>
      <w:r w:rsidR="0055315F" w:rsidRPr="0010334C">
        <w:rPr>
          <w:rFonts w:eastAsia="Times New Roman" w:cs="Times New Roman"/>
          <w:kern w:val="0"/>
          <w:sz w:val="24"/>
          <w:szCs w:val="24"/>
          <w:lang w:eastAsia="en-IN" w:bidi="ar-SA"/>
          <w14:ligatures w14:val="none"/>
        </w:rPr>
        <w:t>)</w:t>
      </w:r>
      <w:r w:rsidRPr="0010334C">
        <w:rPr>
          <w:rFonts w:eastAsia="Times New Roman" w:cs="Times New Roman"/>
          <w:kern w:val="0"/>
          <w:sz w:val="24"/>
          <w:szCs w:val="24"/>
          <w:lang w:eastAsia="en-IN" w:bidi="ar-SA"/>
          <w14:ligatures w14:val="none"/>
        </w:rPr>
        <w:t xml:space="preserve"> case, the Supreme Court held </w:t>
      </w:r>
      <w:r w:rsidR="00782C80" w:rsidRPr="0010334C">
        <w:rPr>
          <w:rFonts w:eastAsia="Times New Roman" w:cs="Times New Roman"/>
          <w:kern w:val="0"/>
          <w:sz w:val="24"/>
          <w:szCs w:val="24"/>
          <w:lang w:eastAsia="en-IN" w:bidi="ar-SA"/>
          <w14:ligatures w14:val="none"/>
        </w:rPr>
        <w:t>that: “The</w:t>
      </w:r>
      <w:r w:rsidRPr="0010334C">
        <w:rPr>
          <w:rFonts w:eastAsia="Times New Roman" w:cs="Times New Roman"/>
          <w:kern w:val="0"/>
          <w:sz w:val="24"/>
          <w:szCs w:val="24"/>
          <w:lang w:eastAsia="en-IN" w:bidi="ar-SA"/>
          <w14:ligatures w14:val="none"/>
        </w:rPr>
        <w:t xml:space="preserve"> failure of a government hospital to provide timely medical treatment to a person in need</w:t>
      </w:r>
      <w:r w:rsidR="003337F8" w:rsidRPr="0010334C">
        <w:rPr>
          <w:rFonts w:eastAsia="Times New Roman" w:cs="Times New Roman"/>
          <w:kern w:val="0"/>
          <w:sz w:val="24"/>
          <w:szCs w:val="24"/>
          <w:lang w:eastAsia="en-IN" w:bidi="ar-SA"/>
          <w14:ligatures w14:val="none"/>
        </w:rPr>
        <w:t>,</w:t>
      </w:r>
      <w:r w:rsidRPr="0010334C">
        <w:rPr>
          <w:rFonts w:eastAsia="Times New Roman" w:cs="Times New Roman"/>
          <w:kern w:val="0"/>
          <w:sz w:val="24"/>
          <w:szCs w:val="24"/>
          <w:lang w:eastAsia="en-IN" w:bidi="ar-SA"/>
          <w14:ligatures w14:val="none"/>
        </w:rPr>
        <w:t xml:space="preserve"> results in the violation of the right to life under Article 21."The Court emphasized that it is the constitutional obligation of the State to provide adequate medical services to the people, especially in emergency situations. Financial constraints or administrative policies cannot be valid excuses for denying such </w:t>
      </w:r>
      <w:r w:rsidR="00642388" w:rsidRPr="0010334C">
        <w:rPr>
          <w:rFonts w:eastAsia="Times New Roman" w:cs="Times New Roman"/>
          <w:kern w:val="0"/>
          <w:sz w:val="24"/>
          <w:szCs w:val="24"/>
          <w:lang w:eastAsia="en-IN" w:bidi="ar-SA"/>
          <w14:ligatures w14:val="none"/>
        </w:rPr>
        <w:t>care. Other</w:t>
      </w:r>
      <w:r w:rsidRPr="0010334C">
        <w:rPr>
          <w:rFonts w:eastAsia="Times New Roman" w:cs="Times New Roman"/>
          <w:kern w:val="0"/>
          <w:sz w:val="24"/>
          <w:szCs w:val="24"/>
          <w:lang w:eastAsia="en-IN" w:bidi="ar-SA"/>
          <w14:ligatures w14:val="none"/>
        </w:rPr>
        <w:t xml:space="preserve"> relevant case</w:t>
      </w:r>
      <w:r w:rsidR="00442755" w:rsidRPr="0010334C">
        <w:rPr>
          <w:rFonts w:eastAsia="Times New Roman" w:cs="Times New Roman"/>
          <w:kern w:val="0"/>
          <w:sz w:val="24"/>
          <w:szCs w:val="24"/>
          <w:lang w:eastAsia="en-IN" w:bidi="ar-SA"/>
          <w14:ligatures w14:val="none"/>
        </w:rPr>
        <w:t xml:space="preserve"> </w:t>
      </w:r>
      <w:r w:rsidR="00B542CE" w:rsidRPr="0010334C">
        <w:rPr>
          <w:rFonts w:eastAsia="Times New Roman" w:cs="Times New Roman"/>
          <w:kern w:val="0"/>
          <w:sz w:val="24"/>
          <w:szCs w:val="24"/>
          <w:lang w:eastAsia="en-IN" w:bidi="ar-SA"/>
          <w14:ligatures w14:val="none"/>
        </w:rPr>
        <w:t>is</w:t>
      </w:r>
      <w:r w:rsidR="00442755" w:rsidRPr="0010334C">
        <w:rPr>
          <w:rFonts w:eastAsia="Times New Roman" w:cs="Times New Roman"/>
          <w:kern w:val="0"/>
          <w:sz w:val="24"/>
          <w:szCs w:val="24"/>
          <w:lang w:eastAsia="en-IN" w:bidi="ar-SA"/>
          <w14:ligatures w14:val="none"/>
        </w:rPr>
        <w:t xml:space="preserve"> </w:t>
      </w:r>
      <w:r w:rsidRPr="0010334C">
        <w:rPr>
          <w:rFonts w:eastAsia="Times New Roman" w:cs="Times New Roman"/>
          <w:kern w:val="0"/>
          <w:sz w:val="24"/>
          <w:szCs w:val="24"/>
          <w:lang w:eastAsia="en-IN" w:bidi="ar-SA"/>
          <w14:ligatures w14:val="none"/>
        </w:rPr>
        <w:t>Parmanand Katara v. Union of India (1989)</w:t>
      </w:r>
      <w:r w:rsidR="00B542CE" w:rsidRPr="0010334C">
        <w:rPr>
          <w:rFonts w:eastAsia="Times New Roman" w:cs="Times New Roman"/>
          <w:kern w:val="0"/>
          <w:sz w:val="24"/>
          <w:szCs w:val="24"/>
          <w:lang w:eastAsia="en-IN" w:bidi="ar-SA"/>
          <w14:ligatures w14:val="none"/>
        </w:rPr>
        <w:t>.</w:t>
      </w:r>
      <w:r w:rsidRPr="0010334C">
        <w:rPr>
          <w:rFonts w:eastAsia="Times New Roman" w:cs="Times New Roman"/>
          <w:kern w:val="0"/>
          <w:sz w:val="24"/>
          <w:szCs w:val="24"/>
          <w:lang w:eastAsia="en-IN" w:bidi="ar-SA"/>
          <w14:ligatures w14:val="none"/>
        </w:rPr>
        <w:t xml:space="preserve"> The Supreme Court held that every doctor, whether in a government hospital or otherwise, has the professional obligation to extend his services with due expertise for protecting </w:t>
      </w:r>
      <w:r w:rsidR="00642388" w:rsidRPr="0010334C">
        <w:rPr>
          <w:rFonts w:eastAsia="Times New Roman" w:cs="Times New Roman"/>
          <w:kern w:val="0"/>
          <w:sz w:val="24"/>
          <w:szCs w:val="24"/>
          <w:lang w:eastAsia="en-IN" w:bidi="ar-SA"/>
          <w14:ligatures w14:val="none"/>
        </w:rPr>
        <w:t xml:space="preserve">life and </w:t>
      </w:r>
      <w:r w:rsidR="00782C80" w:rsidRPr="0010334C">
        <w:rPr>
          <w:rFonts w:eastAsia="Times New Roman" w:cs="Times New Roman"/>
          <w:kern w:val="0"/>
          <w:sz w:val="24"/>
          <w:szCs w:val="24"/>
          <w:lang w:eastAsia="en-IN" w:bidi="ar-SA"/>
          <w14:ligatures w14:val="none"/>
        </w:rPr>
        <w:t>opined that</w:t>
      </w:r>
      <w:r w:rsidRPr="0010334C">
        <w:rPr>
          <w:rFonts w:eastAsia="Times New Roman" w:cs="Times New Roman"/>
          <w:kern w:val="0"/>
          <w:sz w:val="24"/>
          <w:szCs w:val="24"/>
          <w:lang w:eastAsia="en-IN" w:bidi="ar-SA"/>
          <w14:ligatures w14:val="none"/>
        </w:rPr>
        <w:t xml:space="preserve"> the right to health and medical care is a fundamental right under Article 21.</w:t>
      </w:r>
    </w:p>
    <w:p w14:paraId="796A76A6" w14:textId="77777777" w:rsidR="00B21E2E" w:rsidRPr="0010334C" w:rsidRDefault="00B21E2E" w:rsidP="00B21E2E">
      <w:pPr>
        <w:spacing w:before="100" w:beforeAutospacing="1" w:after="100" w:afterAutospacing="1" w:line="240" w:lineRule="auto"/>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Corrective Action Plan:</w:t>
      </w:r>
    </w:p>
    <w:p w14:paraId="0E309A7A" w14:textId="34E22C43" w:rsidR="00B21E2E" w:rsidRPr="0010334C" w:rsidRDefault="00357EB5" w:rsidP="00BC72E8">
      <w:pPr>
        <w:spacing w:before="100" w:beforeAutospacing="1" w:after="100" w:afterAutospacing="1" w:line="240" w:lineRule="auto"/>
        <w:rPr>
          <w:rFonts w:eastAsia="Times New Roman" w:cs="Times New Roman"/>
          <w:kern w:val="0"/>
          <w:sz w:val="24"/>
          <w:szCs w:val="24"/>
          <w:lang w:eastAsia="en-IN" w:bidi="ar-SA"/>
          <w14:ligatures w14:val="none"/>
        </w:rPr>
      </w:pPr>
      <w:r w:rsidRPr="0010334C">
        <w:rPr>
          <w:rFonts w:eastAsia="Times New Roman" w:cs="Times New Roman"/>
          <w:b/>
          <w:bCs/>
          <w:kern w:val="0"/>
          <w:sz w:val="24"/>
          <w:szCs w:val="24"/>
          <w:lang w:eastAsia="en-IN" w:bidi="ar-SA"/>
          <w14:ligatures w14:val="none"/>
        </w:rPr>
        <w:t xml:space="preserve"> </w:t>
      </w:r>
      <w:r w:rsidR="00B21E2E" w:rsidRPr="0010334C">
        <w:rPr>
          <w:rFonts w:eastAsia="Times New Roman" w:cs="Times New Roman"/>
          <w:kern w:val="0"/>
          <w:sz w:val="24"/>
          <w:szCs w:val="24"/>
          <w:lang w:eastAsia="en-IN" w:bidi="ar-SA"/>
          <w14:ligatures w14:val="none"/>
        </w:rPr>
        <w:t xml:space="preserve">A circular to all medical </w:t>
      </w:r>
      <w:r w:rsidR="00BC72E8" w:rsidRPr="0010334C">
        <w:rPr>
          <w:rFonts w:eastAsia="Times New Roman" w:cs="Times New Roman"/>
          <w:kern w:val="0"/>
          <w:sz w:val="24"/>
          <w:szCs w:val="24"/>
          <w:lang w:eastAsia="en-IN" w:bidi="ar-SA"/>
          <w14:ligatures w14:val="none"/>
        </w:rPr>
        <w:t>staff,</w:t>
      </w:r>
      <w:r w:rsidR="00B21E2E" w:rsidRPr="0010334C">
        <w:rPr>
          <w:rFonts w:eastAsia="Times New Roman" w:cs="Times New Roman"/>
          <w:kern w:val="0"/>
          <w:sz w:val="24"/>
          <w:szCs w:val="24"/>
          <w:lang w:eastAsia="en-IN" w:bidi="ar-SA"/>
          <w14:ligatures w14:val="none"/>
        </w:rPr>
        <w:t xml:space="preserve"> and administrative personnel </w:t>
      </w:r>
      <w:r w:rsidR="00BC72E8" w:rsidRPr="0010334C">
        <w:rPr>
          <w:rFonts w:eastAsia="Times New Roman" w:cs="Times New Roman"/>
          <w:kern w:val="0"/>
          <w:sz w:val="24"/>
          <w:szCs w:val="24"/>
          <w:lang w:eastAsia="en-IN" w:bidi="ar-SA"/>
          <w14:ligatures w14:val="none"/>
        </w:rPr>
        <w:t xml:space="preserve">can be issued. </w:t>
      </w:r>
    </w:p>
    <w:p w14:paraId="7CD6C244" w14:textId="621330DD" w:rsidR="00B21E2E" w:rsidRPr="0010334C" w:rsidRDefault="00B21E2E" w:rsidP="00BC72E8">
      <w:pPr>
        <w:spacing w:before="100" w:beforeAutospacing="1" w:after="100" w:afterAutospacing="1" w:line="240" w:lineRule="auto"/>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Mandatory sensitization programs for all hospital staff on constitutional rights, medical ethics, and emergency care protocols</w:t>
      </w:r>
      <w:r w:rsidR="00BC72E8" w:rsidRPr="0010334C">
        <w:rPr>
          <w:rFonts w:eastAsia="Times New Roman" w:cs="Times New Roman"/>
          <w:kern w:val="0"/>
          <w:sz w:val="24"/>
          <w:szCs w:val="24"/>
          <w:lang w:eastAsia="en-IN" w:bidi="ar-SA"/>
          <w14:ligatures w14:val="none"/>
        </w:rPr>
        <w:t xml:space="preserve"> can be organised</w:t>
      </w:r>
      <w:r w:rsidRPr="0010334C">
        <w:rPr>
          <w:rFonts w:eastAsia="Times New Roman" w:cs="Times New Roman"/>
          <w:kern w:val="0"/>
          <w:sz w:val="24"/>
          <w:szCs w:val="24"/>
          <w:lang w:eastAsia="en-IN" w:bidi="ar-SA"/>
          <w14:ligatures w14:val="none"/>
        </w:rPr>
        <w:t>.</w:t>
      </w:r>
    </w:p>
    <w:p w14:paraId="789B46A6" w14:textId="6720D42A" w:rsidR="00B21E2E" w:rsidRPr="0010334C" w:rsidRDefault="00A60F17" w:rsidP="007951AA">
      <w:pPr>
        <w:spacing w:before="100" w:beforeAutospacing="1" w:after="100" w:afterAutospacing="1" w:line="240" w:lineRule="auto"/>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A</w:t>
      </w:r>
      <w:r w:rsidR="00B21E2E" w:rsidRPr="0010334C">
        <w:rPr>
          <w:rFonts w:eastAsia="Times New Roman" w:cs="Times New Roman"/>
          <w:kern w:val="0"/>
          <w:sz w:val="24"/>
          <w:szCs w:val="24"/>
          <w:lang w:eastAsia="en-IN" w:bidi="ar-SA"/>
          <w14:ligatures w14:val="none"/>
        </w:rPr>
        <w:t xml:space="preserve"> 24/7 patient grievance cell and appointment of a</w:t>
      </w:r>
      <w:r w:rsidR="007951AA" w:rsidRPr="0010334C">
        <w:rPr>
          <w:rFonts w:eastAsia="Times New Roman" w:cs="Times New Roman"/>
          <w:kern w:val="0"/>
          <w:sz w:val="24"/>
          <w:szCs w:val="24"/>
          <w:lang w:eastAsia="en-IN" w:bidi="ar-SA"/>
          <w14:ligatures w14:val="none"/>
        </w:rPr>
        <w:t xml:space="preserve"> committee </w:t>
      </w:r>
      <w:r w:rsidR="00B21E2E" w:rsidRPr="0010334C">
        <w:rPr>
          <w:rFonts w:eastAsia="Times New Roman" w:cs="Times New Roman"/>
          <w:kern w:val="0"/>
          <w:sz w:val="24"/>
          <w:szCs w:val="24"/>
          <w:lang w:eastAsia="en-IN" w:bidi="ar-SA"/>
          <w14:ligatures w14:val="none"/>
        </w:rPr>
        <w:t>to handle complaints of medical negligence or denial of care</w:t>
      </w:r>
      <w:r w:rsidRPr="0010334C">
        <w:rPr>
          <w:rFonts w:eastAsia="Times New Roman" w:cs="Times New Roman"/>
          <w:kern w:val="0"/>
          <w:sz w:val="24"/>
          <w:szCs w:val="24"/>
          <w:lang w:eastAsia="en-IN" w:bidi="ar-SA"/>
          <w14:ligatures w14:val="none"/>
        </w:rPr>
        <w:t xml:space="preserve"> can be set up</w:t>
      </w:r>
      <w:r w:rsidR="00B21E2E" w:rsidRPr="0010334C">
        <w:rPr>
          <w:rFonts w:eastAsia="Times New Roman" w:cs="Times New Roman"/>
          <w:kern w:val="0"/>
          <w:sz w:val="24"/>
          <w:szCs w:val="24"/>
          <w:lang w:eastAsia="en-IN" w:bidi="ar-SA"/>
          <w14:ligatures w14:val="none"/>
        </w:rPr>
        <w:t>.</w:t>
      </w:r>
    </w:p>
    <w:p w14:paraId="7A3AC318" w14:textId="1B4CDFF2" w:rsidR="00B21E2E" w:rsidRPr="0010334C" w:rsidRDefault="001B51B2" w:rsidP="001B51B2">
      <w:pPr>
        <w:spacing w:before="100" w:beforeAutospacing="1" w:after="100" w:afterAutospacing="1" w:line="240" w:lineRule="auto"/>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E</w:t>
      </w:r>
      <w:r w:rsidR="00B21E2E" w:rsidRPr="0010334C">
        <w:rPr>
          <w:rFonts w:eastAsia="Times New Roman" w:cs="Times New Roman"/>
          <w:kern w:val="0"/>
          <w:sz w:val="24"/>
          <w:szCs w:val="24"/>
          <w:lang w:eastAsia="en-IN" w:bidi="ar-SA"/>
          <w14:ligatures w14:val="none"/>
        </w:rPr>
        <w:t>mergency services, including availability of ambulances and mobile health units to support patients from remote or under-served regions</w:t>
      </w:r>
      <w:r w:rsidRPr="0010334C">
        <w:rPr>
          <w:rFonts w:eastAsia="Times New Roman" w:cs="Times New Roman"/>
          <w:kern w:val="0"/>
          <w:sz w:val="24"/>
          <w:szCs w:val="24"/>
          <w:lang w:eastAsia="en-IN" w:bidi="ar-SA"/>
          <w14:ligatures w14:val="none"/>
        </w:rPr>
        <w:t xml:space="preserve"> can be strengthened</w:t>
      </w:r>
      <w:r w:rsidR="00782C80" w:rsidRPr="0010334C">
        <w:rPr>
          <w:rFonts w:eastAsia="Times New Roman" w:cs="Times New Roman"/>
          <w:kern w:val="0"/>
          <w:sz w:val="24"/>
          <w:szCs w:val="24"/>
          <w:lang w:eastAsia="en-IN" w:bidi="ar-SA"/>
          <w14:ligatures w14:val="none"/>
        </w:rPr>
        <w:t>.</w:t>
      </w:r>
    </w:p>
    <w:p w14:paraId="2CC2F5C0" w14:textId="054B587B" w:rsidR="00B542CE" w:rsidRPr="0010334C" w:rsidRDefault="00B542CE" w:rsidP="001B51B2">
      <w:pPr>
        <w:spacing w:before="100" w:beforeAutospacing="1" w:after="100" w:afterAutospacing="1" w:line="240" w:lineRule="auto"/>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Q2</w:t>
      </w:r>
    </w:p>
    <w:p w14:paraId="69619606" w14:textId="5352E2BC" w:rsidR="000A54BF" w:rsidRPr="0010334C" w:rsidRDefault="000A54BF" w:rsidP="000A54BF">
      <w:pPr>
        <w:spacing w:before="100" w:beforeAutospacing="1" w:after="100" w:afterAutospacing="1" w:line="240" w:lineRule="auto"/>
        <w:jc w:val="both"/>
        <w:outlineLvl w:val="2"/>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This situation demands a careful balance between respecting the patient’s fundamental right to privacy and fulfilling the hospital’s legal and ethical obligation to report communicable diseases for the protection of public health.</w:t>
      </w:r>
    </w:p>
    <w:p w14:paraId="050268C6" w14:textId="77777777" w:rsidR="002A56B4" w:rsidRPr="0010334C" w:rsidRDefault="000A54BF" w:rsidP="002A56B4">
      <w:pPr>
        <w:spacing w:before="100" w:beforeAutospacing="1" w:after="100" w:afterAutospacing="1" w:line="240" w:lineRule="auto"/>
        <w:jc w:val="both"/>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 xml:space="preserve">Right to Privacy </w:t>
      </w:r>
      <w:r w:rsidR="00E7320E" w:rsidRPr="0010334C">
        <w:rPr>
          <w:rFonts w:eastAsia="Times New Roman" w:cs="Times New Roman"/>
          <w:kern w:val="0"/>
          <w:sz w:val="24"/>
          <w:szCs w:val="24"/>
          <w:lang w:eastAsia="en-IN" w:bidi="ar-SA"/>
          <w14:ligatures w14:val="none"/>
        </w:rPr>
        <w:t>is a f</w:t>
      </w:r>
      <w:r w:rsidRPr="0010334C">
        <w:rPr>
          <w:rFonts w:eastAsia="Times New Roman" w:cs="Times New Roman"/>
          <w:kern w:val="0"/>
          <w:sz w:val="24"/>
          <w:szCs w:val="24"/>
          <w:lang w:eastAsia="en-IN" w:bidi="ar-SA"/>
          <w14:ligatures w14:val="none"/>
        </w:rPr>
        <w:t xml:space="preserve">undamental </w:t>
      </w:r>
      <w:r w:rsidR="00E7320E" w:rsidRPr="0010334C">
        <w:rPr>
          <w:rFonts w:eastAsia="Times New Roman" w:cs="Times New Roman"/>
          <w:kern w:val="0"/>
          <w:sz w:val="24"/>
          <w:szCs w:val="24"/>
          <w:lang w:eastAsia="en-IN" w:bidi="ar-SA"/>
          <w14:ligatures w14:val="none"/>
        </w:rPr>
        <w:t>r</w:t>
      </w:r>
      <w:r w:rsidRPr="0010334C">
        <w:rPr>
          <w:rFonts w:eastAsia="Times New Roman" w:cs="Times New Roman"/>
          <w:kern w:val="0"/>
          <w:sz w:val="24"/>
          <w:szCs w:val="24"/>
          <w:lang w:eastAsia="en-IN" w:bidi="ar-SA"/>
          <w14:ligatures w14:val="none"/>
        </w:rPr>
        <w:t>ight</w:t>
      </w:r>
      <w:r w:rsidR="00E7320E" w:rsidRPr="0010334C">
        <w:rPr>
          <w:rFonts w:eastAsia="Times New Roman" w:cs="Times New Roman"/>
          <w:kern w:val="0"/>
          <w:sz w:val="24"/>
          <w:szCs w:val="24"/>
          <w:lang w:eastAsia="en-IN" w:bidi="ar-SA"/>
          <w14:ligatures w14:val="none"/>
        </w:rPr>
        <w:t xml:space="preserve"> in India. </w:t>
      </w:r>
      <w:r w:rsidR="008B3B65" w:rsidRPr="0010334C">
        <w:rPr>
          <w:rFonts w:eastAsia="Times New Roman" w:cs="Times New Roman"/>
          <w:kern w:val="0"/>
          <w:sz w:val="24"/>
          <w:szCs w:val="24"/>
          <w:lang w:eastAsia="en-IN" w:bidi="ar-SA"/>
          <w14:ligatures w14:val="none"/>
        </w:rPr>
        <w:t>K.S. Puttaswamy v. Union of India (2017), the Supreme Court declared that</w:t>
      </w:r>
      <w:r w:rsidR="008B3B65" w:rsidRPr="0010334C">
        <w:rPr>
          <w:rFonts w:eastAsia="Times New Roman" w:cs="Times New Roman"/>
          <w:b/>
          <w:bCs/>
          <w:kern w:val="0"/>
          <w:sz w:val="24"/>
          <w:szCs w:val="24"/>
          <w:lang w:eastAsia="en-IN" w:bidi="ar-SA"/>
          <w14:ligatures w14:val="none"/>
        </w:rPr>
        <w:t xml:space="preserve"> </w:t>
      </w:r>
      <w:r w:rsidR="008B3B65" w:rsidRPr="0010334C">
        <w:rPr>
          <w:rFonts w:eastAsia="Times New Roman" w:cs="Times New Roman"/>
          <w:kern w:val="0"/>
          <w:sz w:val="24"/>
          <w:szCs w:val="24"/>
          <w:lang w:eastAsia="en-IN" w:bidi="ar-SA"/>
          <w14:ligatures w14:val="none"/>
        </w:rPr>
        <w:t>Right to Privacy as a fundamental right under Article 21 (Right to Life and Personal Liberty).</w:t>
      </w:r>
      <w:r w:rsidR="008D5D4E" w:rsidRPr="0010334C">
        <w:rPr>
          <w:rFonts w:eastAsia="Times New Roman" w:cs="Times New Roman"/>
          <w:kern w:val="0"/>
          <w:sz w:val="24"/>
          <w:szCs w:val="24"/>
          <w:lang w:eastAsia="en-IN" w:bidi="ar-SA"/>
          <w14:ligatures w14:val="none"/>
        </w:rPr>
        <w:t xml:space="preserve"> </w:t>
      </w:r>
      <w:r w:rsidRPr="0010334C">
        <w:rPr>
          <w:rFonts w:eastAsia="Times New Roman" w:cs="Times New Roman"/>
          <w:kern w:val="0"/>
          <w:sz w:val="24"/>
          <w:szCs w:val="24"/>
          <w:lang w:eastAsia="en-IN" w:bidi="ar-SA"/>
          <w14:ligatures w14:val="none"/>
        </w:rPr>
        <w:t>However, this right is not absolute and can be reasonably restricted for legitimate state interests—such as public health and disease control.</w:t>
      </w:r>
      <w:r w:rsidR="003B5BF8" w:rsidRPr="0010334C">
        <w:rPr>
          <w:rFonts w:eastAsia="Times New Roman" w:cs="Times New Roman"/>
          <w:kern w:val="0"/>
          <w:sz w:val="24"/>
          <w:szCs w:val="24"/>
          <w:lang w:eastAsia="en-IN" w:bidi="ar-SA"/>
          <w14:ligatures w14:val="none"/>
        </w:rPr>
        <w:t xml:space="preserve"> Failure to report can attract legal penalties and risk wider outbreaks, endangering community health.</w:t>
      </w:r>
    </w:p>
    <w:p w14:paraId="70737F19" w14:textId="2B7A24C7" w:rsidR="00B542CE" w:rsidRPr="0010334C" w:rsidRDefault="00B278EA" w:rsidP="002A56B4">
      <w:pPr>
        <w:spacing w:before="100" w:beforeAutospacing="1" w:after="100" w:afterAutospacing="1" w:line="240" w:lineRule="auto"/>
        <w:jc w:val="both"/>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INDIAN MEDICAL COUNCIL (Professional Conduct, Etiquette and Ethics) Regulations, 2002</w:t>
      </w:r>
      <w:r w:rsidR="007C7538" w:rsidRPr="0010334C">
        <w:rPr>
          <w:rFonts w:eastAsia="Times New Roman" w:cs="Times New Roman"/>
          <w:kern w:val="0"/>
          <w:sz w:val="24"/>
          <w:szCs w:val="24"/>
          <w:lang w:eastAsia="en-IN" w:bidi="ar-SA"/>
          <w14:ligatures w14:val="none"/>
        </w:rPr>
        <w:t>,</w:t>
      </w:r>
      <w:r w:rsidR="007C7538" w:rsidRPr="0010334C">
        <w:rPr>
          <w:rFonts w:eastAsia="Fira Sans" w:cstheme="majorBidi"/>
          <w:b/>
          <w:bCs/>
          <w:color w:val="B7202E"/>
          <w:kern w:val="24"/>
          <w:sz w:val="24"/>
          <w:szCs w:val="24"/>
          <w:lang w:val="en-US"/>
        </w:rPr>
        <w:t xml:space="preserve"> </w:t>
      </w:r>
      <w:r w:rsidR="007C7538" w:rsidRPr="0010334C">
        <w:rPr>
          <w:rFonts w:eastAsia="Times New Roman" w:cs="Times New Roman"/>
          <w:kern w:val="0"/>
          <w:sz w:val="24"/>
          <w:szCs w:val="24"/>
          <w:lang w:eastAsia="en-IN" w:bidi="ar-SA"/>
          <w14:ligatures w14:val="none"/>
        </w:rPr>
        <w:t xml:space="preserve">Charter of Patient’s Rights adopted by the National Human Rights </w:t>
      </w:r>
      <w:r w:rsidR="00930E7C" w:rsidRPr="0010334C">
        <w:rPr>
          <w:rFonts w:eastAsia="Times New Roman" w:cs="Times New Roman"/>
          <w:kern w:val="0"/>
          <w:sz w:val="24"/>
          <w:szCs w:val="24"/>
          <w:lang w:eastAsia="en-IN" w:bidi="ar-SA"/>
          <w14:ligatures w14:val="none"/>
        </w:rPr>
        <w:t>Commission,</w:t>
      </w:r>
      <w:r w:rsidR="007C7538" w:rsidRPr="0010334C">
        <w:rPr>
          <w:rFonts w:eastAsia="Times New Roman" w:cs="Times New Roman"/>
          <w:kern w:val="0"/>
          <w:sz w:val="24"/>
          <w:szCs w:val="24"/>
          <w:lang w:eastAsia="en-IN" w:bidi="ar-SA"/>
          <w14:ligatures w14:val="none"/>
        </w:rPr>
        <w:t xml:space="preserve"> </w:t>
      </w:r>
      <w:r w:rsidR="007C7538" w:rsidRPr="0010334C">
        <w:rPr>
          <w:rFonts w:eastAsia="Times New Roman" w:cs="Times New Roman"/>
          <w:kern w:val="0"/>
          <w:sz w:val="24"/>
          <w:szCs w:val="24"/>
          <w:lang w:eastAsia="en-IN" w:bidi="ar-SA"/>
          <w14:ligatures w14:val="none"/>
        </w:rPr>
        <w:lastRenderedPageBreak/>
        <w:t>2018,</w:t>
      </w:r>
      <w:r w:rsidR="007C7538" w:rsidRPr="0010334C">
        <w:rPr>
          <w:rFonts w:eastAsia="Fira Sans" w:cstheme="majorBidi"/>
          <w:b/>
          <w:bCs/>
          <w:color w:val="B7202E"/>
          <w:kern w:val="24"/>
          <w:sz w:val="24"/>
          <w:szCs w:val="24"/>
          <w:lang w:val="en-US"/>
        </w:rPr>
        <w:t xml:space="preserve"> </w:t>
      </w:r>
      <w:r w:rsidR="007C7538" w:rsidRPr="0010334C">
        <w:rPr>
          <w:rFonts w:eastAsia="Times New Roman" w:cs="Times New Roman"/>
          <w:kern w:val="0"/>
          <w:sz w:val="24"/>
          <w:szCs w:val="24"/>
          <w:lang w:eastAsia="en-IN" w:bidi="ar-SA"/>
          <w14:ligatures w14:val="none"/>
        </w:rPr>
        <w:t>The Digital Personal Data Protection Act, 2023</w:t>
      </w:r>
      <w:r w:rsidR="001D26ED" w:rsidRPr="0010334C">
        <w:rPr>
          <w:rFonts w:eastAsia="Times New Roman" w:cs="Times New Roman"/>
          <w:kern w:val="0"/>
          <w:sz w:val="24"/>
          <w:szCs w:val="24"/>
          <w:lang w:eastAsia="en-IN" w:bidi="ar-SA"/>
          <w14:ligatures w14:val="none"/>
        </w:rPr>
        <w:t>,</w:t>
      </w:r>
      <w:r w:rsidR="001D26ED" w:rsidRPr="0010334C">
        <w:rPr>
          <w:rFonts w:eastAsia="Times New Roman" w:cs="Times New Roman"/>
          <w:b/>
          <w:bCs/>
          <w:kern w:val="0"/>
          <w:sz w:val="24"/>
          <w:szCs w:val="24"/>
          <w:lang w:eastAsia="en-IN" w:bidi="ar-SA"/>
          <w14:ligatures w14:val="none"/>
        </w:rPr>
        <w:t xml:space="preserve"> </w:t>
      </w:r>
      <w:r w:rsidR="001D26ED" w:rsidRPr="0010334C">
        <w:rPr>
          <w:rFonts w:eastAsia="Times New Roman" w:cs="Times New Roman"/>
          <w:kern w:val="0"/>
          <w:sz w:val="24"/>
          <w:szCs w:val="24"/>
          <w:lang w:eastAsia="en-IN" w:bidi="ar-SA"/>
          <w14:ligatures w14:val="none"/>
        </w:rPr>
        <w:t>Epidemic Diseases Act, 1897 are relevant here.</w:t>
      </w:r>
    </w:p>
    <w:p w14:paraId="4BD8CDB3" w14:textId="6A7B1549" w:rsidR="002A56B4" w:rsidRPr="0010334C" w:rsidRDefault="002A56B4" w:rsidP="002A56B4">
      <w:pPr>
        <w:spacing w:before="100" w:beforeAutospacing="1" w:after="100" w:afterAutospacing="1" w:line="240" w:lineRule="auto"/>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Q3</w:t>
      </w:r>
    </w:p>
    <w:p w14:paraId="14AC454A" w14:textId="4430EC3D" w:rsidR="004B57A8" w:rsidRPr="004B57A8" w:rsidRDefault="004B57A8" w:rsidP="009A6B42">
      <w:pPr>
        <w:spacing w:before="100" w:beforeAutospacing="1" w:after="100" w:afterAutospacing="1" w:line="240" w:lineRule="auto"/>
        <w:jc w:val="both"/>
        <w:rPr>
          <w:rFonts w:eastAsia="Times New Roman" w:cs="Times New Roman"/>
          <w:kern w:val="0"/>
          <w:sz w:val="24"/>
          <w:szCs w:val="24"/>
          <w:lang w:eastAsia="en-IN" w:bidi="ar-SA"/>
          <w14:ligatures w14:val="none"/>
        </w:rPr>
      </w:pPr>
      <w:r w:rsidRPr="004B57A8">
        <w:rPr>
          <w:rFonts w:eastAsia="Times New Roman" w:cs="Times New Roman"/>
          <w:kern w:val="0"/>
          <w:sz w:val="24"/>
          <w:szCs w:val="24"/>
          <w:lang w:eastAsia="en-IN" w:bidi="ar-SA"/>
          <w14:ligatures w14:val="none"/>
        </w:rPr>
        <w:t>Passive euthanasia is legal under Article 21 (Right to Life includes Right to Die with Dignity</w:t>
      </w:r>
      <w:r w:rsidRPr="0010334C">
        <w:rPr>
          <w:rFonts w:eastAsia="Times New Roman" w:cs="Times New Roman"/>
          <w:kern w:val="0"/>
          <w:sz w:val="24"/>
          <w:szCs w:val="24"/>
          <w:lang w:eastAsia="en-IN" w:bidi="ar-SA"/>
          <w14:ligatures w14:val="none"/>
        </w:rPr>
        <w:t>). Living</w:t>
      </w:r>
      <w:r w:rsidRPr="004B57A8">
        <w:rPr>
          <w:rFonts w:eastAsia="Times New Roman" w:cs="Times New Roman"/>
          <w:kern w:val="0"/>
          <w:sz w:val="24"/>
          <w:szCs w:val="24"/>
          <w:lang w:eastAsia="en-IN" w:bidi="ar-SA"/>
          <w14:ligatures w14:val="none"/>
        </w:rPr>
        <w:t xml:space="preserve"> will and advance directives are legally valid.</w:t>
      </w:r>
      <w:r w:rsidRPr="0010334C">
        <w:rPr>
          <w:rFonts w:eastAsia="Times New Roman" w:cs="Times New Roman"/>
          <w:kern w:val="0"/>
          <w:sz w:val="24"/>
          <w:szCs w:val="24"/>
          <w:lang w:eastAsia="en-IN" w:bidi="ar-SA"/>
          <w14:ligatures w14:val="none"/>
        </w:rPr>
        <w:t xml:space="preserve">  </w:t>
      </w:r>
      <w:r w:rsidRPr="004B57A8">
        <w:rPr>
          <w:rFonts w:eastAsia="Times New Roman" w:cs="Times New Roman"/>
          <w:kern w:val="0"/>
          <w:sz w:val="24"/>
          <w:szCs w:val="24"/>
          <w:lang w:eastAsia="en-IN" w:bidi="ar-SA"/>
          <w14:ligatures w14:val="none"/>
        </w:rPr>
        <w:t>In the absence of an advance directive, a competent patient can request withdrawal of life support, but strict legal procedures must be followed.</w:t>
      </w:r>
      <w:r w:rsidRPr="0010334C">
        <w:rPr>
          <w:rFonts w:eastAsia="Times New Roman" w:cs="Times New Roman"/>
          <w:kern w:val="0"/>
          <w:sz w:val="24"/>
          <w:szCs w:val="24"/>
          <w:lang w:eastAsia="en-IN" w:bidi="ar-SA"/>
          <w14:ligatures w14:val="none"/>
        </w:rPr>
        <w:t xml:space="preserve"> </w:t>
      </w:r>
      <w:r w:rsidRPr="004B57A8">
        <w:rPr>
          <w:rFonts w:eastAsia="Times New Roman" w:cs="Times New Roman"/>
          <w:kern w:val="0"/>
          <w:sz w:val="24"/>
          <w:szCs w:val="24"/>
          <w:lang w:eastAsia="en-IN" w:bidi="ar-SA"/>
          <w14:ligatures w14:val="none"/>
        </w:rPr>
        <w:t>Approval must be obtained from a Medical Board and jurisdictional High Court.</w:t>
      </w:r>
    </w:p>
    <w:p w14:paraId="6E1596D1" w14:textId="58AAD683" w:rsidR="0050033D" w:rsidRPr="0010334C" w:rsidRDefault="004B57A8" w:rsidP="001C3065">
      <w:pPr>
        <w:spacing w:before="100" w:beforeAutospacing="1" w:after="100" w:afterAutospacing="1" w:line="240" w:lineRule="auto"/>
        <w:jc w:val="both"/>
        <w:outlineLvl w:val="2"/>
        <w:rPr>
          <w:rFonts w:eastAsia="Times New Roman" w:cs="Times New Roman"/>
          <w:kern w:val="0"/>
          <w:sz w:val="24"/>
          <w:szCs w:val="24"/>
          <w:lang w:eastAsia="en-IN" w:bidi="ar-SA"/>
          <w14:ligatures w14:val="none"/>
        </w:rPr>
      </w:pPr>
      <w:r w:rsidRPr="0010334C">
        <w:rPr>
          <w:rFonts w:eastAsia="Times New Roman" w:cs="Times New Roman"/>
          <w:kern w:val="0"/>
          <w:sz w:val="24"/>
          <w:szCs w:val="24"/>
          <w:lang w:eastAsia="en-IN" w:bidi="ar-SA"/>
          <w14:ligatures w14:val="none"/>
        </w:rPr>
        <w:t xml:space="preserve">Precedents are </w:t>
      </w:r>
      <w:r w:rsidRPr="004B57A8">
        <w:rPr>
          <w:rFonts w:eastAsia="Times New Roman" w:cs="Times New Roman"/>
          <w:kern w:val="0"/>
          <w:sz w:val="24"/>
          <w:szCs w:val="24"/>
          <w:lang w:eastAsia="en-IN" w:bidi="ar-SA"/>
          <w14:ligatures w14:val="none"/>
        </w:rPr>
        <w:t xml:space="preserve">Common Cause v. Union of </w:t>
      </w:r>
      <w:r w:rsidR="00AC79B0" w:rsidRPr="0010334C">
        <w:rPr>
          <w:rFonts w:eastAsia="Times New Roman" w:cs="Times New Roman"/>
          <w:kern w:val="0"/>
          <w:sz w:val="24"/>
          <w:szCs w:val="24"/>
          <w:lang w:eastAsia="en-IN" w:bidi="ar-SA"/>
          <w14:ligatures w14:val="none"/>
        </w:rPr>
        <w:t xml:space="preserve">India </w:t>
      </w:r>
      <w:r w:rsidR="00DF221C" w:rsidRPr="0010334C">
        <w:rPr>
          <w:rFonts w:eastAsia="Times New Roman" w:cs="Times New Roman"/>
          <w:kern w:val="0"/>
          <w:sz w:val="24"/>
          <w:szCs w:val="24"/>
          <w:lang w:eastAsia="en-IN" w:bidi="ar-SA"/>
          <w14:ligatures w14:val="none"/>
        </w:rPr>
        <w:t>and Aruna</w:t>
      </w:r>
      <w:r w:rsidR="00AC79B0" w:rsidRPr="0010334C">
        <w:rPr>
          <w:rFonts w:cs="Times New Roman"/>
          <w:color w:val="001D35"/>
          <w:sz w:val="24"/>
          <w:szCs w:val="24"/>
          <w:shd w:val="clear" w:color="auto" w:fill="FFFFFF"/>
        </w:rPr>
        <w:t xml:space="preserve"> Ramachandra Shanbaug v. Union of </w:t>
      </w:r>
      <w:r w:rsidR="001C3065" w:rsidRPr="0010334C">
        <w:rPr>
          <w:rFonts w:cs="Times New Roman"/>
          <w:color w:val="001D35"/>
          <w:sz w:val="24"/>
          <w:szCs w:val="24"/>
          <w:shd w:val="clear" w:color="auto" w:fill="FFFFFF"/>
        </w:rPr>
        <w:t>India.</w:t>
      </w:r>
      <w:r w:rsidR="001C3065" w:rsidRPr="0010334C">
        <w:rPr>
          <w:rFonts w:cs="Times New Roman"/>
          <w:sz w:val="24"/>
          <w:szCs w:val="24"/>
        </w:rPr>
        <w:t xml:space="preserve"> Hospital</w:t>
      </w:r>
      <w:r w:rsidR="00DF221C" w:rsidRPr="0010334C">
        <w:rPr>
          <w:rFonts w:cs="Times New Roman"/>
          <w:sz w:val="24"/>
          <w:szCs w:val="24"/>
        </w:rPr>
        <w:t xml:space="preserve"> has to align policy with </w:t>
      </w:r>
      <w:r w:rsidR="00DF221C" w:rsidRPr="0010334C">
        <w:rPr>
          <w:rStyle w:val="Strong"/>
          <w:rFonts w:cs="Times New Roman"/>
          <w:b w:val="0"/>
          <w:bCs w:val="0"/>
          <w:sz w:val="24"/>
          <w:szCs w:val="24"/>
        </w:rPr>
        <w:t>SC guidelines (2018)</w:t>
      </w:r>
      <w:r w:rsidR="00DF221C" w:rsidRPr="0010334C">
        <w:rPr>
          <w:rFonts w:cs="Times New Roman"/>
          <w:b/>
          <w:bCs/>
          <w:sz w:val="24"/>
          <w:szCs w:val="24"/>
        </w:rPr>
        <w:t xml:space="preserve"> </w:t>
      </w:r>
      <w:r w:rsidR="00DF221C" w:rsidRPr="0010334C">
        <w:rPr>
          <w:rFonts w:cs="Times New Roman"/>
          <w:sz w:val="24"/>
          <w:szCs w:val="24"/>
        </w:rPr>
        <w:t>and</w:t>
      </w:r>
      <w:r w:rsidR="00DF221C" w:rsidRPr="0010334C">
        <w:rPr>
          <w:rFonts w:cs="Times New Roman"/>
          <w:b/>
          <w:bCs/>
          <w:sz w:val="24"/>
          <w:szCs w:val="24"/>
        </w:rPr>
        <w:t xml:space="preserve"> </w:t>
      </w:r>
      <w:r w:rsidR="00DF221C" w:rsidRPr="0010334C">
        <w:rPr>
          <w:rStyle w:val="Strong"/>
          <w:rFonts w:cs="Times New Roman"/>
          <w:b w:val="0"/>
          <w:bCs w:val="0"/>
          <w:sz w:val="24"/>
          <w:szCs w:val="24"/>
        </w:rPr>
        <w:t>Medical Council of India</w:t>
      </w:r>
      <w:r w:rsidR="00DF221C" w:rsidRPr="0010334C">
        <w:rPr>
          <w:rFonts w:cs="Times New Roman"/>
          <w:b/>
          <w:bCs/>
          <w:sz w:val="24"/>
          <w:szCs w:val="24"/>
        </w:rPr>
        <w:t xml:space="preserve"> </w:t>
      </w:r>
      <w:r w:rsidR="009A6B42" w:rsidRPr="0010334C">
        <w:rPr>
          <w:rFonts w:cs="Times New Roman"/>
          <w:sz w:val="24"/>
          <w:szCs w:val="24"/>
        </w:rPr>
        <w:t xml:space="preserve">norms. At the same time, </w:t>
      </w:r>
      <w:r w:rsidR="009A6B42" w:rsidRPr="0010334C">
        <w:rPr>
          <w:rStyle w:val="Strong"/>
          <w:rFonts w:cs="Times New Roman"/>
          <w:b w:val="0"/>
          <w:bCs w:val="0"/>
          <w:sz w:val="24"/>
          <w:szCs w:val="24"/>
        </w:rPr>
        <w:t>autonomy, dignity, and informed consent</w:t>
      </w:r>
      <w:r w:rsidR="0093330E" w:rsidRPr="0010334C">
        <w:rPr>
          <w:rStyle w:val="Strong"/>
          <w:rFonts w:cs="Times New Roman"/>
          <w:b w:val="0"/>
          <w:bCs w:val="0"/>
          <w:sz w:val="24"/>
          <w:szCs w:val="24"/>
        </w:rPr>
        <w:t xml:space="preserve"> </w:t>
      </w:r>
      <w:r w:rsidR="00EF1E58" w:rsidRPr="0010334C">
        <w:rPr>
          <w:rStyle w:val="Strong"/>
          <w:rFonts w:cs="Times New Roman"/>
          <w:b w:val="0"/>
          <w:bCs w:val="0"/>
          <w:sz w:val="24"/>
          <w:szCs w:val="24"/>
        </w:rPr>
        <w:t>of the</w:t>
      </w:r>
      <w:r w:rsidR="0093330E" w:rsidRPr="0010334C">
        <w:rPr>
          <w:rStyle w:val="Strong"/>
          <w:rFonts w:cs="Times New Roman"/>
          <w:b w:val="0"/>
          <w:bCs w:val="0"/>
          <w:sz w:val="24"/>
          <w:szCs w:val="24"/>
        </w:rPr>
        <w:t xml:space="preserve"> patient need to be respected.</w:t>
      </w:r>
      <w:r w:rsidR="00EF1E58" w:rsidRPr="0010334C">
        <w:rPr>
          <w:rFonts w:cs="Times New Roman"/>
          <w:sz w:val="24"/>
          <w:szCs w:val="24"/>
        </w:rPr>
        <w:t xml:space="preserve"> </w:t>
      </w:r>
      <w:r w:rsidR="0050033D" w:rsidRPr="0010334C">
        <w:rPr>
          <w:rFonts w:cs="Times New Roman"/>
          <w:sz w:val="24"/>
          <w:szCs w:val="24"/>
        </w:rPr>
        <w:t>C</w:t>
      </w:r>
      <w:r w:rsidR="00EF1E58" w:rsidRPr="0010334C">
        <w:rPr>
          <w:rFonts w:cs="Times New Roman"/>
          <w:sz w:val="24"/>
          <w:szCs w:val="24"/>
        </w:rPr>
        <w:t>ounselling and mediation support to families should be provided</w:t>
      </w:r>
      <w:r w:rsidR="0050033D" w:rsidRPr="0010334C">
        <w:rPr>
          <w:rFonts w:cs="Times New Roman"/>
          <w:sz w:val="24"/>
          <w:szCs w:val="24"/>
        </w:rPr>
        <w:t xml:space="preserve"> and e</w:t>
      </w:r>
      <w:r w:rsidR="0050033D" w:rsidRPr="0010334C">
        <w:rPr>
          <w:rFonts w:eastAsia="Times New Roman" w:cs="Times New Roman"/>
          <w:kern w:val="0"/>
          <w:sz w:val="24"/>
          <w:szCs w:val="24"/>
          <w:lang w:eastAsia="en-IN" w:bidi="ar-SA"/>
          <w14:ligatures w14:val="none"/>
        </w:rPr>
        <w:t>nsure that the decision is voluntary, well-informed, and free from external pressure.</w:t>
      </w:r>
    </w:p>
    <w:p w14:paraId="40934385" w14:textId="1336A44C" w:rsidR="00EC2BFF" w:rsidRPr="0010334C" w:rsidRDefault="00EC2BFF" w:rsidP="0050033D">
      <w:pPr>
        <w:jc w:val="both"/>
        <w:rPr>
          <w:rFonts w:cs="Times New Roman"/>
          <w:sz w:val="24"/>
          <w:szCs w:val="24"/>
        </w:rPr>
      </w:pPr>
      <w:r w:rsidRPr="0010334C">
        <w:rPr>
          <w:rFonts w:cs="Times New Roman"/>
          <w:sz w:val="24"/>
          <w:szCs w:val="24"/>
        </w:rPr>
        <w:t xml:space="preserve">This case underscores how legal frameworks and court rulings directly shape hospital policy and end-of-life care decisions. Administrators must navigate between legal mandates, patient rights, ethical values, and emotional </w:t>
      </w:r>
      <w:r w:rsidR="008879E8" w:rsidRPr="0010334C">
        <w:rPr>
          <w:rFonts w:cs="Times New Roman"/>
          <w:sz w:val="24"/>
          <w:szCs w:val="24"/>
        </w:rPr>
        <w:t>sensitivities with</w:t>
      </w:r>
      <w:r w:rsidRPr="0010334C">
        <w:rPr>
          <w:rFonts w:cs="Times New Roman"/>
          <w:sz w:val="24"/>
          <w:szCs w:val="24"/>
        </w:rPr>
        <w:t xml:space="preserve"> humanity and clarity.</w:t>
      </w:r>
    </w:p>
    <w:p w14:paraId="536BB2F6" w14:textId="52B867AE" w:rsidR="0050033D" w:rsidRPr="0010334C" w:rsidRDefault="0050033D" w:rsidP="0050033D">
      <w:pPr>
        <w:jc w:val="both"/>
        <w:rPr>
          <w:sz w:val="24"/>
          <w:szCs w:val="24"/>
        </w:rPr>
      </w:pPr>
      <w:r w:rsidRPr="0010334C">
        <w:rPr>
          <w:sz w:val="24"/>
          <w:szCs w:val="24"/>
        </w:rPr>
        <w:t xml:space="preserve">Q4. </w:t>
      </w:r>
    </w:p>
    <w:p w14:paraId="356FEECC" w14:textId="0520DBD3" w:rsidR="00016CCF" w:rsidRPr="0010334C" w:rsidRDefault="00DB36EE" w:rsidP="007B6C1E">
      <w:pPr>
        <w:pStyle w:val="NormalWeb"/>
        <w:jc w:val="both"/>
        <w:rPr>
          <w:rFonts w:asciiTheme="minorHAnsi" w:hAnsiTheme="minorHAnsi"/>
        </w:rPr>
      </w:pPr>
      <w:r w:rsidRPr="0010334C">
        <w:rPr>
          <w:rFonts w:asciiTheme="minorHAnsi" w:hAnsiTheme="minorHAnsi"/>
        </w:rPr>
        <w:t xml:space="preserve">Healthcare services are included under the CPA, 2019. The </w:t>
      </w:r>
      <w:r w:rsidRPr="0010334C">
        <w:rPr>
          <w:rStyle w:val="Strong"/>
          <w:rFonts w:asciiTheme="minorHAnsi" w:eastAsiaTheme="majorEastAsia" w:hAnsiTheme="minorHAnsi"/>
          <w:b w:val="0"/>
          <w:bCs w:val="0"/>
        </w:rPr>
        <w:t>Supreme Court in</w:t>
      </w:r>
      <w:r w:rsidRPr="0010334C">
        <w:rPr>
          <w:rStyle w:val="Strong"/>
          <w:rFonts w:asciiTheme="minorHAnsi" w:eastAsiaTheme="majorEastAsia" w:hAnsiTheme="minorHAnsi"/>
        </w:rPr>
        <w:t xml:space="preserve"> </w:t>
      </w:r>
      <w:r w:rsidRPr="0010334C">
        <w:rPr>
          <w:rStyle w:val="Emphasis"/>
          <w:rFonts w:asciiTheme="minorHAnsi" w:eastAsiaTheme="majorEastAsia" w:hAnsiTheme="minorHAnsi"/>
        </w:rPr>
        <w:t>Indian Medical Association v. V.P. Shantha</w:t>
      </w:r>
      <w:r w:rsidRPr="0010334C">
        <w:rPr>
          <w:rStyle w:val="Strong"/>
          <w:rFonts w:asciiTheme="minorHAnsi" w:eastAsiaTheme="majorEastAsia" w:hAnsiTheme="minorHAnsi"/>
        </w:rPr>
        <w:t xml:space="preserve"> </w:t>
      </w:r>
      <w:r w:rsidRPr="0010334C">
        <w:rPr>
          <w:rStyle w:val="Strong"/>
          <w:rFonts w:asciiTheme="minorHAnsi" w:eastAsiaTheme="majorEastAsia" w:hAnsiTheme="minorHAnsi"/>
          <w:b w:val="0"/>
          <w:bCs w:val="0"/>
        </w:rPr>
        <w:t>(1995)</w:t>
      </w:r>
      <w:r w:rsidRPr="0010334C">
        <w:rPr>
          <w:rFonts w:asciiTheme="minorHAnsi" w:hAnsiTheme="minorHAnsi"/>
        </w:rPr>
        <w:t xml:space="preserve"> brought </w:t>
      </w:r>
      <w:r w:rsidRPr="0010334C">
        <w:rPr>
          <w:rStyle w:val="Strong"/>
          <w:rFonts w:asciiTheme="minorHAnsi" w:eastAsiaTheme="majorEastAsia" w:hAnsiTheme="minorHAnsi"/>
          <w:b w:val="0"/>
          <w:bCs w:val="0"/>
        </w:rPr>
        <w:t>medical services</w:t>
      </w:r>
      <w:r w:rsidRPr="0010334C">
        <w:rPr>
          <w:rFonts w:asciiTheme="minorHAnsi" w:hAnsiTheme="minorHAnsi"/>
        </w:rPr>
        <w:t xml:space="preserve"> under the purview of the </w:t>
      </w:r>
      <w:r w:rsidRPr="0010334C">
        <w:rPr>
          <w:rStyle w:val="Strong"/>
          <w:rFonts w:asciiTheme="minorHAnsi" w:eastAsiaTheme="majorEastAsia" w:hAnsiTheme="minorHAnsi"/>
          <w:b w:val="0"/>
          <w:bCs w:val="0"/>
        </w:rPr>
        <w:t>Consumer Protection Act, 1986</w:t>
      </w:r>
      <w:r w:rsidRPr="0010334C">
        <w:rPr>
          <w:rFonts w:asciiTheme="minorHAnsi" w:hAnsiTheme="minorHAnsi"/>
        </w:rPr>
        <w:t xml:space="preserve">, which continues under the updated </w:t>
      </w:r>
      <w:r w:rsidRPr="0010334C">
        <w:rPr>
          <w:rStyle w:val="Strong"/>
          <w:rFonts w:asciiTheme="minorHAnsi" w:eastAsiaTheme="majorEastAsia" w:hAnsiTheme="minorHAnsi"/>
          <w:b w:val="0"/>
          <w:bCs w:val="0"/>
        </w:rPr>
        <w:t>CPA, 2019</w:t>
      </w:r>
      <w:r w:rsidRPr="0010334C">
        <w:rPr>
          <w:rFonts w:asciiTheme="minorHAnsi" w:hAnsiTheme="minorHAnsi"/>
          <w:b/>
          <w:bCs/>
        </w:rPr>
        <w:t>.</w:t>
      </w:r>
      <w:r w:rsidR="00016CCF" w:rsidRPr="0010334C">
        <w:rPr>
          <w:rFonts w:asciiTheme="minorHAnsi" w:hAnsiTheme="minorHAnsi"/>
        </w:rPr>
        <w:t xml:space="preserve"> </w:t>
      </w:r>
      <w:r w:rsidR="007B6C1E" w:rsidRPr="0010334C">
        <w:rPr>
          <w:rFonts w:asciiTheme="minorHAnsi" w:hAnsiTheme="minorHAnsi"/>
        </w:rPr>
        <w:t>‘</w:t>
      </w:r>
      <w:r w:rsidR="007B6C1E" w:rsidRPr="0010334C">
        <w:rPr>
          <w:rStyle w:val="Strong"/>
          <w:rFonts w:asciiTheme="minorHAnsi" w:eastAsiaTheme="majorEastAsia" w:hAnsiTheme="minorHAnsi"/>
          <w:b w:val="0"/>
          <w:bCs w:val="0"/>
        </w:rPr>
        <w:t>Service</w:t>
      </w:r>
      <w:r w:rsidR="005205EE" w:rsidRPr="0010334C">
        <w:rPr>
          <w:rStyle w:val="Strong"/>
          <w:rFonts w:asciiTheme="minorHAnsi" w:eastAsiaTheme="majorEastAsia" w:hAnsiTheme="minorHAnsi"/>
          <w:b w:val="0"/>
          <w:bCs w:val="0"/>
        </w:rPr>
        <w:t>’</w:t>
      </w:r>
      <w:r w:rsidR="007B6C1E" w:rsidRPr="0010334C">
        <w:rPr>
          <w:rStyle w:val="Strong"/>
          <w:rFonts w:asciiTheme="minorHAnsi" w:eastAsiaTheme="majorEastAsia" w:hAnsiTheme="minorHAnsi"/>
          <w:b w:val="0"/>
          <w:bCs w:val="0"/>
        </w:rPr>
        <w:t xml:space="preserve"> includes</w:t>
      </w:r>
      <w:r w:rsidR="00016CCF" w:rsidRPr="0010334C">
        <w:rPr>
          <w:rStyle w:val="Strong"/>
          <w:rFonts w:asciiTheme="minorHAnsi" w:eastAsiaTheme="majorEastAsia" w:hAnsiTheme="minorHAnsi"/>
          <w:b w:val="0"/>
          <w:bCs w:val="0"/>
        </w:rPr>
        <w:t xml:space="preserve"> healthcare</w:t>
      </w:r>
      <w:r w:rsidR="00016CCF" w:rsidRPr="0010334C">
        <w:rPr>
          <w:rFonts w:asciiTheme="minorHAnsi" w:hAnsiTheme="minorHAnsi"/>
        </w:rPr>
        <w:t xml:space="preserve"> provided by hospitals, clinics, and individual practitioners.  Patients are considered </w:t>
      </w:r>
      <w:r w:rsidR="00016CCF" w:rsidRPr="0010334C">
        <w:rPr>
          <w:rStyle w:val="Strong"/>
          <w:rFonts w:asciiTheme="minorHAnsi" w:eastAsiaTheme="majorEastAsia" w:hAnsiTheme="minorHAnsi"/>
          <w:b w:val="0"/>
          <w:bCs w:val="0"/>
        </w:rPr>
        <w:t>consumers</w:t>
      </w:r>
      <w:r w:rsidR="00016CCF" w:rsidRPr="0010334C">
        <w:rPr>
          <w:rFonts w:asciiTheme="minorHAnsi" w:hAnsiTheme="minorHAnsi"/>
          <w:b/>
          <w:bCs/>
        </w:rPr>
        <w:t>.</w:t>
      </w:r>
      <w:r w:rsidR="00016CCF" w:rsidRPr="0010334C">
        <w:rPr>
          <w:rFonts w:asciiTheme="minorHAnsi" w:hAnsiTheme="minorHAnsi"/>
        </w:rPr>
        <w:t xml:space="preserve"> </w:t>
      </w:r>
      <w:r w:rsidR="00016CCF" w:rsidRPr="0010334C">
        <w:rPr>
          <w:rStyle w:val="Strong"/>
          <w:rFonts w:asciiTheme="minorHAnsi" w:eastAsiaTheme="majorEastAsia" w:hAnsiTheme="minorHAnsi"/>
          <w:b w:val="0"/>
          <w:bCs w:val="0"/>
        </w:rPr>
        <w:t>Medical negligence</w:t>
      </w:r>
      <w:r w:rsidR="00016CCF" w:rsidRPr="0010334C">
        <w:rPr>
          <w:rFonts w:asciiTheme="minorHAnsi" w:hAnsiTheme="minorHAnsi"/>
          <w:b/>
          <w:bCs/>
        </w:rPr>
        <w:t xml:space="preserve"> </w:t>
      </w:r>
      <w:r w:rsidR="00016CCF" w:rsidRPr="0010334C">
        <w:rPr>
          <w:rFonts w:asciiTheme="minorHAnsi" w:hAnsiTheme="minorHAnsi"/>
        </w:rPr>
        <w:t>and</w:t>
      </w:r>
      <w:r w:rsidR="00016CCF" w:rsidRPr="0010334C">
        <w:rPr>
          <w:rFonts w:asciiTheme="minorHAnsi" w:hAnsiTheme="minorHAnsi"/>
          <w:b/>
          <w:bCs/>
        </w:rPr>
        <w:t xml:space="preserve"> </w:t>
      </w:r>
      <w:r w:rsidR="00016CCF" w:rsidRPr="0010334C">
        <w:rPr>
          <w:rStyle w:val="Strong"/>
          <w:rFonts w:asciiTheme="minorHAnsi" w:eastAsiaTheme="majorEastAsia" w:hAnsiTheme="minorHAnsi"/>
          <w:b w:val="0"/>
          <w:bCs w:val="0"/>
        </w:rPr>
        <w:t>deficiency in service</w:t>
      </w:r>
      <w:r w:rsidR="00016CCF" w:rsidRPr="0010334C">
        <w:rPr>
          <w:rFonts w:asciiTheme="minorHAnsi" w:hAnsiTheme="minorHAnsi"/>
        </w:rPr>
        <w:t xml:space="preserve"> are grounds for </w:t>
      </w:r>
      <w:r w:rsidR="008A015F" w:rsidRPr="0010334C">
        <w:rPr>
          <w:rFonts w:asciiTheme="minorHAnsi" w:hAnsiTheme="minorHAnsi"/>
        </w:rPr>
        <w:t xml:space="preserve">complaint. </w:t>
      </w:r>
      <w:r w:rsidR="00CF73FD" w:rsidRPr="0010334C">
        <w:rPr>
          <w:rFonts w:asciiTheme="minorHAnsi" w:hAnsiTheme="minorHAnsi"/>
        </w:rPr>
        <w:t>This is</w:t>
      </w:r>
      <w:r w:rsidR="005205EE" w:rsidRPr="0010334C">
        <w:rPr>
          <w:rFonts w:asciiTheme="minorHAnsi" w:hAnsiTheme="minorHAnsi"/>
        </w:rPr>
        <w:t xml:space="preserve"> a case of Negligence </w:t>
      </w:r>
      <w:r w:rsidR="008A015F" w:rsidRPr="0010334C">
        <w:rPr>
          <w:rFonts w:asciiTheme="minorHAnsi" w:hAnsiTheme="minorHAnsi"/>
        </w:rPr>
        <w:t>and Vicious liability.</w:t>
      </w:r>
    </w:p>
    <w:p w14:paraId="418A37C7" w14:textId="06A12D8A" w:rsidR="00CF73FD" w:rsidRPr="0010334C" w:rsidRDefault="00CF73FD" w:rsidP="001A3958">
      <w:pPr>
        <w:pStyle w:val="NormalWeb"/>
        <w:jc w:val="both"/>
        <w:rPr>
          <w:rFonts w:asciiTheme="minorHAnsi" w:hAnsiTheme="minorHAnsi"/>
          <w:b/>
          <w:bCs/>
        </w:rPr>
      </w:pPr>
      <w:r w:rsidRPr="0010334C">
        <w:rPr>
          <w:rFonts w:asciiTheme="minorHAnsi" w:hAnsiTheme="minorHAnsi"/>
        </w:rPr>
        <w:t>Policy Revision &amp; Risk Management is required. Hospitals must therefore</w:t>
      </w:r>
      <w:r w:rsidR="00854E35" w:rsidRPr="0010334C">
        <w:rPr>
          <w:rFonts w:asciiTheme="minorHAnsi" w:hAnsiTheme="minorHAnsi"/>
        </w:rPr>
        <w:t xml:space="preserve"> a</w:t>
      </w:r>
      <w:r w:rsidRPr="0010334C">
        <w:rPr>
          <w:rFonts w:asciiTheme="minorHAnsi" w:hAnsiTheme="minorHAnsi"/>
        </w:rPr>
        <w:t xml:space="preserve">lign policies with </w:t>
      </w:r>
      <w:r w:rsidRPr="0010334C">
        <w:rPr>
          <w:rStyle w:val="Strong"/>
          <w:rFonts w:asciiTheme="minorHAnsi" w:eastAsiaTheme="majorEastAsia" w:hAnsiTheme="minorHAnsi"/>
          <w:b w:val="0"/>
          <w:bCs w:val="0"/>
        </w:rPr>
        <w:t xml:space="preserve">patient rights and legal </w:t>
      </w:r>
      <w:r w:rsidR="00854E35" w:rsidRPr="0010334C">
        <w:rPr>
          <w:rStyle w:val="Strong"/>
          <w:rFonts w:asciiTheme="minorHAnsi" w:eastAsiaTheme="majorEastAsia" w:hAnsiTheme="minorHAnsi"/>
          <w:b w:val="0"/>
          <w:bCs w:val="0"/>
        </w:rPr>
        <w:t>duties</w:t>
      </w:r>
      <w:r w:rsidR="00854E35" w:rsidRPr="0010334C">
        <w:rPr>
          <w:rFonts w:asciiTheme="minorHAnsi" w:hAnsiTheme="minorHAnsi"/>
          <w:b/>
          <w:bCs/>
        </w:rPr>
        <w:t>,</w:t>
      </w:r>
      <w:r w:rsidR="00854E35" w:rsidRPr="0010334C">
        <w:rPr>
          <w:rFonts w:asciiTheme="minorHAnsi" w:hAnsiTheme="minorHAnsi"/>
        </w:rPr>
        <w:t xml:space="preserve"> implement</w:t>
      </w:r>
      <w:r w:rsidRPr="0010334C">
        <w:rPr>
          <w:rFonts w:asciiTheme="minorHAnsi" w:hAnsiTheme="minorHAnsi"/>
        </w:rPr>
        <w:t xml:space="preserve"> robust </w:t>
      </w:r>
      <w:r w:rsidRPr="0010334C">
        <w:rPr>
          <w:rStyle w:val="Strong"/>
          <w:rFonts w:asciiTheme="minorHAnsi" w:eastAsiaTheme="majorEastAsia" w:hAnsiTheme="minorHAnsi"/>
          <w:b w:val="0"/>
          <w:bCs w:val="0"/>
        </w:rPr>
        <w:t>internal checks</w:t>
      </w:r>
      <w:r w:rsidRPr="0010334C">
        <w:rPr>
          <w:rFonts w:asciiTheme="minorHAnsi" w:hAnsiTheme="minorHAnsi"/>
        </w:rPr>
        <w:t>, and</w:t>
      </w:r>
      <w:r w:rsidR="00854E35" w:rsidRPr="0010334C">
        <w:rPr>
          <w:rFonts w:asciiTheme="minorHAnsi" w:hAnsiTheme="minorHAnsi"/>
        </w:rPr>
        <w:t xml:space="preserve"> f</w:t>
      </w:r>
      <w:r w:rsidRPr="0010334C">
        <w:rPr>
          <w:rFonts w:asciiTheme="minorHAnsi" w:hAnsiTheme="minorHAnsi"/>
        </w:rPr>
        <w:t xml:space="preserve">oster a </w:t>
      </w:r>
      <w:r w:rsidRPr="0010334C">
        <w:rPr>
          <w:rStyle w:val="Strong"/>
          <w:rFonts w:asciiTheme="minorHAnsi" w:eastAsiaTheme="majorEastAsia" w:hAnsiTheme="minorHAnsi"/>
          <w:b w:val="0"/>
          <w:bCs w:val="0"/>
        </w:rPr>
        <w:t>culture of safety, accountability, and compliance</w:t>
      </w:r>
      <w:r w:rsidRPr="0010334C">
        <w:rPr>
          <w:rFonts w:asciiTheme="minorHAnsi" w:hAnsiTheme="minorHAnsi"/>
          <w:b/>
          <w:bCs/>
        </w:rPr>
        <w:t>.</w:t>
      </w:r>
      <w:r w:rsidR="001A3958" w:rsidRPr="0010334C">
        <w:rPr>
          <w:rFonts w:asciiTheme="minorHAnsi" w:hAnsiTheme="minorHAnsi"/>
        </w:rPr>
        <w:t xml:space="preserve"> By doing so, hospitals not only reduce legal risks but also </w:t>
      </w:r>
      <w:r w:rsidR="001A3958" w:rsidRPr="0010334C">
        <w:rPr>
          <w:rStyle w:val="Strong"/>
          <w:rFonts w:asciiTheme="minorHAnsi" w:eastAsiaTheme="majorEastAsia" w:hAnsiTheme="minorHAnsi"/>
          <w:b w:val="0"/>
          <w:bCs w:val="0"/>
        </w:rPr>
        <w:t>enhance patient trust and service quality</w:t>
      </w:r>
      <w:r w:rsidR="001A3958" w:rsidRPr="0010334C">
        <w:rPr>
          <w:rFonts w:asciiTheme="minorHAnsi" w:hAnsiTheme="minorHAnsi"/>
        </w:rPr>
        <w:t xml:space="preserve"> — essential in today’s competitive healthcare environment.</w:t>
      </w:r>
    </w:p>
    <w:p w14:paraId="3253D871" w14:textId="25EB65FD" w:rsidR="0050033D" w:rsidRDefault="0010334C" w:rsidP="0010334C">
      <w:pPr>
        <w:jc w:val="center"/>
        <w:rPr>
          <w:rFonts w:eastAsia="Times New Roman" w:cs="Times New Roman"/>
          <w:b/>
          <w:bCs/>
          <w:kern w:val="0"/>
          <w:sz w:val="24"/>
          <w:szCs w:val="24"/>
          <w:lang w:eastAsia="en-IN" w:bidi="ar-SA"/>
          <w14:ligatures w14:val="none"/>
        </w:rPr>
      </w:pPr>
      <w:r>
        <w:rPr>
          <w:rFonts w:eastAsia="Times New Roman" w:cs="Times New Roman"/>
          <w:b/>
          <w:bCs/>
          <w:kern w:val="0"/>
          <w:sz w:val="24"/>
          <w:szCs w:val="24"/>
          <w:lang w:eastAsia="en-IN" w:bidi="ar-SA"/>
          <w14:ligatures w14:val="none"/>
        </w:rPr>
        <w:t>Section2 (Ethics)</w:t>
      </w:r>
    </w:p>
    <w:p w14:paraId="34720417" w14:textId="77777777" w:rsidR="00610164" w:rsidRDefault="00A110B1" w:rsidP="00A110B1">
      <w:pPr>
        <w:spacing w:after="0" w:line="240" w:lineRule="auto"/>
        <w:ind w:hanging="2"/>
        <w:rPr>
          <w:rFonts w:eastAsia="Times New Roman" w:cs="Times New Roman"/>
          <w:b/>
          <w:bCs/>
          <w:kern w:val="0"/>
          <w:sz w:val="24"/>
          <w:szCs w:val="24"/>
          <w:lang w:eastAsia="en-IN" w:bidi="ar-SA"/>
          <w14:ligatures w14:val="none"/>
        </w:rPr>
      </w:pPr>
      <w:r>
        <w:rPr>
          <w:rFonts w:eastAsia="Times New Roman" w:cs="Times New Roman"/>
          <w:b/>
          <w:bCs/>
          <w:kern w:val="0"/>
          <w:sz w:val="24"/>
          <w:szCs w:val="24"/>
          <w:lang w:eastAsia="en-IN" w:bidi="ar-SA"/>
          <w14:ligatures w14:val="none"/>
        </w:rPr>
        <w:t>Q. 5</w:t>
      </w:r>
      <w:r>
        <w:rPr>
          <w:rFonts w:eastAsia="Times New Roman" w:cs="Times New Roman"/>
          <w:b/>
          <w:bCs/>
          <w:kern w:val="0"/>
          <w:sz w:val="24"/>
          <w:szCs w:val="24"/>
          <w:lang w:eastAsia="en-IN" w:bidi="ar-SA"/>
          <w14:ligatures w14:val="none"/>
        </w:rPr>
        <w:tab/>
      </w:r>
    </w:p>
    <w:p w14:paraId="67254F4B" w14:textId="23029099" w:rsidR="00A110B1" w:rsidRPr="00610164" w:rsidRDefault="00A110B1" w:rsidP="00A110B1">
      <w:pPr>
        <w:spacing w:after="0" w:line="240" w:lineRule="auto"/>
        <w:ind w:hanging="2"/>
        <w:rPr>
          <w:rFonts w:ascii="Times New Roman" w:hAnsi="Times New Roman" w:cs="Times New Roman"/>
          <w:sz w:val="24"/>
          <w:szCs w:val="24"/>
        </w:rPr>
      </w:pPr>
      <w:r w:rsidRPr="00610164">
        <w:rPr>
          <w:rFonts w:ascii="Times New Roman" w:hAnsi="Times New Roman" w:cs="Times New Roman"/>
          <w:b/>
          <w:bCs/>
          <w:sz w:val="24"/>
          <w:szCs w:val="24"/>
        </w:rPr>
        <w:t>Ethical Issues:</w:t>
      </w:r>
      <w:r w:rsidRPr="00610164">
        <w:rPr>
          <w:rFonts w:ascii="Times New Roman" w:hAnsi="Times New Roman" w:cs="Times New Roman"/>
          <w:sz w:val="24"/>
          <w:szCs w:val="24"/>
        </w:rPr>
        <w:br/>
        <w:t>The hospital failed in its duty of care by misdiagnosing the patient.</w:t>
      </w:r>
      <w:r w:rsidRPr="00610164">
        <w:rPr>
          <w:rFonts w:ascii="Times New Roman" w:hAnsi="Times New Roman" w:cs="Times New Roman"/>
          <w:sz w:val="24"/>
          <w:szCs w:val="24"/>
        </w:rPr>
        <w:br/>
        <w:t>Negligence led to unnecessary surgery and patient suffering.</w:t>
      </w:r>
      <w:r w:rsidRPr="00610164">
        <w:rPr>
          <w:rFonts w:ascii="Times New Roman" w:hAnsi="Times New Roman" w:cs="Times New Roman"/>
          <w:sz w:val="24"/>
          <w:szCs w:val="24"/>
        </w:rPr>
        <w:br/>
        <w:t>There was a lack of transparency and accountability by management.</w:t>
      </w:r>
      <w:r w:rsidRPr="00610164">
        <w:rPr>
          <w:rFonts w:ascii="Times New Roman" w:hAnsi="Times New Roman" w:cs="Times New Roman"/>
          <w:sz w:val="24"/>
          <w:szCs w:val="24"/>
        </w:rPr>
        <w:br/>
        <w:t>Professional and ethical standards were not upheld.</w:t>
      </w:r>
    </w:p>
    <w:p w14:paraId="1D5FECA1" w14:textId="77777777" w:rsidR="00A110B1" w:rsidRPr="00610164" w:rsidRDefault="00A110B1" w:rsidP="00A110B1">
      <w:pPr>
        <w:spacing w:after="0" w:line="240" w:lineRule="auto"/>
        <w:ind w:hanging="2"/>
        <w:rPr>
          <w:rFonts w:ascii="Times New Roman" w:hAnsi="Times New Roman" w:cs="Times New Roman"/>
          <w:sz w:val="24"/>
          <w:szCs w:val="24"/>
        </w:rPr>
      </w:pPr>
      <w:r w:rsidRPr="00610164">
        <w:rPr>
          <w:rFonts w:ascii="Times New Roman" w:hAnsi="Times New Roman" w:cs="Times New Roman"/>
          <w:b/>
          <w:bCs/>
          <w:sz w:val="24"/>
          <w:szCs w:val="24"/>
        </w:rPr>
        <w:t>2. Ethical Theories Application:</w:t>
      </w:r>
      <w:r w:rsidRPr="00610164">
        <w:rPr>
          <w:rFonts w:ascii="Times New Roman" w:hAnsi="Times New Roman" w:cs="Times New Roman"/>
          <w:sz w:val="24"/>
          <w:szCs w:val="24"/>
        </w:rPr>
        <w:br/>
        <w:t>Deontological ethics would stress the hospital’s duty to provide accurate care.</w:t>
      </w:r>
      <w:r w:rsidRPr="00610164">
        <w:rPr>
          <w:rFonts w:ascii="Times New Roman" w:hAnsi="Times New Roman" w:cs="Times New Roman"/>
          <w:sz w:val="24"/>
          <w:szCs w:val="24"/>
        </w:rPr>
        <w:br/>
      </w:r>
      <w:r w:rsidRPr="00610164">
        <w:rPr>
          <w:rFonts w:ascii="Times New Roman" w:hAnsi="Times New Roman" w:cs="Times New Roman"/>
          <w:sz w:val="24"/>
          <w:szCs w:val="24"/>
        </w:rPr>
        <w:lastRenderedPageBreak/>
        <w:t>Utilitarian ethics would focus on minimizing overall harm to the patient and society.</w:t>
      </w:r>
      <w:r w:rsidRPr="00610164">
        <w:rPr>
          <w:rFonts w:ascii="Times New Roman" w:hAnsi="Times New Roman" w:cs="Times New Roman"/>
          <w:sz w:val="24"/>
          <w:szCs w:val="24"/>
        </w:rPr>
        <w:br/>
        <w:t>Virtue ethics emphasizes honesty, integrity, and moral character of the staff.</w:t>
      </w:r>
      <w:r w:rsidRPr="00610164">
        <w:rPr>
          <w:rFonts w:ascii="Times New Roman" w:hAnsi="Times New Roman" w:cs="Times New Roman"/>
          <w:sz w:val="24"/>
          <w:szCs w:val="24"/>
        </w:rPr>
        <w:br/>
        <w:t>Applying these ensures ethical decision-making and patient trust.</w:t>
      </w:r>
    </w:p>
    <w:p w14:paraId="0405A40C" w14:textId="77777777" w:rsidR="00A110B1" w:rsidRPr="00610164" w:rsidRDefault="00A110B1" w:rsidP="00A110B1">
      <w:pPr>
        <w:spacing w:after="0" w:line="240" w:lineRule="auto"/>
        <w:ind w:hanging="2"/>
        <w:rPr>
          <w:rFonts w:ascii="Times New Roman" w:hAnsi="Times New Roman" w:cs="Times New Roman"/>
          <w:sz w:val="24"/>
          <w:szCs w:val="24"/>
        </w:rPr>
      </w:pPr>
      <w:r w:rsidRPr="00610164">
        <w:rPr>
          <w:rFonts w:ascii="Times New Roman" w:hAnsi="Times New Roman" w:cs="Times New Roman"/>
          <w:b/>
          <w:bCs/>
          <w:sz w:val="24"/>
          <w:szCs w:val="24"/>
        </w:rPr>
        <w:t>3. Preventive Measures:</w:t>
      </w:r>
      <w:r w:rsidRPr="00610164">
        <w:rPr>
          <w:rFonts w:ascii="Times New Roman" w:hAnsi="Times New Roman" w:cs="Times New Roman"/>
          <w:sz w:val="24"/>
          <w:szCs w:val="24"/>
        </w:rPr>
        <w:br/>
        <w:t>Introduce strict medical protocols and regular audits to ensure accuracy.</w:t>
      </w:r>
      <w:r w:rsidRPr="00610164">
        <w:rPr>
          <w:rFonts w:ascii="Times New Roman" w:hAnsi="Times New Roman" w:cs="Times New Roman"/>
          <w:sz w:val="24"/>
          <w:szCs w:val="24"/>
        </w:rPr>
        <w:br/>
        <w:t>Provide continuous training on ethical practices and patient safety.</w:t>
      </w:r>
      <w:r w:rsidRPr="00610164">
        <w:rPr>
          <w:rFonts w:ascii="Times New Roman" w:hAnsi="Times New Roman" w:cs="Times New Roman"/>
          <w:sz w:val="24"/>
          <w:szCs w:val="24"/>
        </w:rPr>
        <w:br/>
        <w:t>Establish a transparent grievance and reporting system for errors.</w:t>
      </w:r>
      <w:r w:rsidRPr="00610164">
        <w:rPr>
          <w:rFonts w:ascii="Times New Roman" w:hAnsi="Times New Roman" w:cs="Times New Roman"/>
          <w:sz w:val="24"/>
          <w:szCs w:val="24"/>
        </w:rPr>
        <w:br/>
        <w:t>Promote a culture of accountability and ethical responsibility among staff.</w:t>
      </w:r>
    </w:p>
    <w:p w14:paraId="2722B8E4" w14:textId="77777777" w:rsidR="0081737C" w:rsidRDefault="0081737C" w:rsidP="00A110B1">
      <w:pPr>
        <w:spacing w:after="0" w:line="240" w:lineRule="auto"/>
        <w:ind w:hanging="2"/>
        <w:rPr>
          <w:rFonts w:ascii="Times New Roman" w:hAnsi="Times New Roman" w:cs="Times New Roman"/>
          <w:color w:val="FF9900"/>
          <w:sz w:val="24"/>
          <w:szCs w:val="24"/>
        </w:rPr>
      </w:pPr>
    </w:p>
    <w:p w14:paraId="0DFDF92C" w14:textId="2063939D" w:rsidR="00A110B1" w:rsidRPr="0081737C" w:rsidRDefault="00A110B1" w:rsidP="00A110B1">
      <w:pPr>
        <w:spacing w:after="0" w:line="240" w:lineRule="auto"/>
        <w:ind w:hanging="2"/>
        <w:rPr>
          <w:rFonts w:ascii="Times New Roman" w:hAnsi="Times New Roman" w:cs="Times New Roman"/>
          <w:b/>
          <w:bCs/>
          <w:sz w:val="24"/>
          <w:szCs w:val="24"/>
        </w:rPr>
      </w:pPr>
      <w:r w:rsidRPr="0081737C">
        <w:rPr>
          <w:rFonts w:ascii="Times New Roman" w:hAnsi="Times New Roman" w:cs="Times New Roman"/>
          <w:b/>
          <w:bCs/>
          <w:sz w:val="24"/>
          <w:szCs w:val="24"/>
        </w:rPr>
        <w:t>Q 6</w:t>
      </w:r>
    </w:p>
    <w:p w14:paraId="3D19F8AF" w14:textId="77777777" w:rsidR="0081737C" w:rsidRPr="00610164" w:rsidRDefault="0081737C" w:rsidP="0081737C">
      <w:pPr>
        <w:pStyle w:val="NormalWeb"/>
        <w:ind w:left="5" w:hanging="7"/>
        <w:rPr>
          <w:lang w:val="en-US"/>
        </w:rPr>
      </w:pPr>
      <w:r w:rsidRPr="00610164">
        <w:rPr>
          <w:lang w:val="en-US"/>
        </w:rPr>
        <w:t xml:space="preserve">Whistleblowing refers to the act of exposing unethical, illegal, or corrupt practices within an organization by an employee or insider. The person revealing such information is called a </w:t>
      </w:r>
      <w:r w:rsidRPr="00610164">
        <w:rPr>
          <w:i/>
          <w:iCs/>
          <w:lang w:val="en-US"/>
        </w:rPr>
        <w:t>whistleblower</w:t>
      </w:r>
      <w:r w:rsidRPr="00610164">
        <w:rPr>
          <w:lang w:val="en-US"/>
        </w:rPr>
        <w:t>.</w:t>
      </w:r>
    </w:p>
    <w:p w14:paraId="28661BE8" w14:textId="77777777" w:rsidR="0081737C" w:rsidRPr="00610164" w:rsidRDefault="0081737C" w:rsidP="0081737C">
      <w:pPr>
        <w:pStyle w:val="NormalWeb"/>
        <w:ind w:left="5" w:hanging="7"/>
        <w:rPr>
          <w:lang w:val="en-US"/>
        </w:rPr>
      </w:pPr>
      <w:r w:rsidRPr="00610164">
        <w:rPr>
          <w:lang w:val="en-US"/>
        </w:rPr>
        <w:t>There are mainly two types of whistleblowing:</w:t>
      </w:r>
    </w:p>
    <w:p w14:paraId="70494DF3" w14:textId="77777777" w:rsidR="0081737C" w:rsidRPr="00610164" w:rsidRDefault="0081737C" w:rsidP="0081737C">
      <w:pPr>
        <w:pStyle w:val="NormalWeb"/>
        <w:numPr>
          <w:ilvl w:val="0"/>
          <w:numId w:val="11"/>
        </w:numPr>
        <w:rPr>
          <w:lang w:val="en-US"/>
        </w:rPr>
      </w:pPr>
      <w:r w:rsidRPr="00610164">
        <w:rPr>
          <w:lang w:val="en-US"/>
        </w:rPr>
        <w:t>Internal Whistleblowing – Reporting misconduct to higher authorities within the same organization.</w:t>
      </w:r>
    </w:p>
    <w:p w14:paraId="474045BC" w14:textId="77777777" w:rsidR="0081737C" w:rsidRPr="00610164" w:rsidRDefault="0081737C" w:rsidP="0081737C">
      <w:pPr>
        <w:pStyle w:val="NormalWeb"/>
        <w:numPr>
          <w:ilvl w:val="0"/>
          <w:numId w:val="11"/>
        </w:numPr>
        <w:rPr>
          <w:lang w:val="en-US"/>
        </w:rPr>
      </w:pPr>
      <w:r w:rsidRPr="00610164">
        <w:rPr>
          <w:lang w:val="en-US"/>
        </w:rPr>
        <w:t>External Whistleblowing – Reporting unethical or illegal activities to external bodies such as the media, regulators, or law enforcement agencies.</w:t>
      </w:r>
    </w:p>
    <w:p w14:paraId="07C00ADA" w14:textId="77777777" w:rsidR="0081737C" w:rsidRPr="00610164" w:rsidRDefault="0081737C" w:rsidP="0081737C">
      <w:pPr>
        <w:pStyle w:val="NormalWeb"/>
        <w:ind w:left="5" w:hanging="7"/>
        <w:rPr>
          <w:lang w:val="en-US"/>
        </w:rPr>
      </w:pPr>
      <w:r w:rsidRPr="00610164">
        <w:rPr>
          <w:lang w:val="en-US"/>
        </w:rPr>
        <w:t>Moral Aspect:</w:t>
      </w:r>
      <w:r w:rsidRPr="00610164">
        <w:rPr>
          <w:lang w:val="en-US"/>
        </w:rPr>
        <w:br/>
        <w:t>Whistleblowing is considered morally justified when it protects public interest, prevents harm, or upholds ethical standards. However, it may also involve personal risk or breach of loyalty to the employer, which raises ethical dilemmas.</w:t>
      </w:r>
    </w:p>
    <w:p w14:paraId="6D6D0098" w14:textId="77777777" w:rsidR="0081737C" w:rsidRPr="00610164" w:rsidRDefault="0081737C" w:rsidP="0081737C">
      <w:pPr>
        <w:pStyle w:val="NormalWeb"/>
        <w:ind w:left="5" w:hanging="7"/>
        <w:rPr>
          <w:lang w:val="en-US"/>
        </w:rPr>
      </w:pPr>
      <w:r w:rsidRPr="00610164">
        <w:rPr>
          <w:lang w:val="en-US"/>
        </w:rPr>
        <w:t>Examples:</w:t>
      </w:r>
    </w:p>
    <w:p w14:paraId="09BCB84A" w14:textId="77777777" w:rsidR="0081737C" w:rsidRPr="00610164" w:rsidRDefault="0081737C" w:rsidP="0081737C">
      <w:pPr>
        <w:pStyle w:val="NormalWeb"/>
        <w:numPr>
          <w:ilvl w:val="0"/>
          <w:numId w:val="12"/>
        </w:numPr>
        <w:rPr>
          <w:lang w:val="en-US"/>
        </w:rPr>
      </w:pPr>
      <w:r w:rsidRPr="00610164">
        <w:rPr>
          <w:lang w:val="en-US"/>
        </w:rPr>
        <w:t>Edward Snowden exposed global surveillance practices by the NSA.</w:t>
      </w:r>
    </w:p>
    <w:p w14:paraId="27F6A61B" w14:textId="77777777" w:rsidR="0081737C" w:rsidRPr="00610164" w:rsidRDefault="0081737C" w:rsidP="0081737C">
      <w:pPr>
        <w:pStyle w:val="NormalWeb"/>
        <w:numPr>
          <w:ilvl w:val="0"/>
          <w:numId w:val="12"/>
        </w:numPr>
        <w:rPr>
          <w:lang w:val="en-US"/>
        </w:rPr>
      </w:pPr>
      <w:r w:rsidRPr="00610164">
        <w:rPr>
          <w:lang w:val="en-US"/>
        </w:rPr>
        <w:t>Sherron Watkins at Enron revealed accounting fraud.</w:t>
      </w:r>
    </w:p>
    <w:p w14:paraId="3C4F2EA1" w14:textId="77777777" w:rsidR="0081737C" w:rsidRPr="00610164" w:rsidRDefault="0081737C" w:rsidP="0081737C">
      <w:pPr>
        <w:pStyle w:val="NormalWeb"/>
        <w:numPr>
          <w:ilvl w:val="0"/>
          <w:numId w:val="12"/>
        </w:numPr>
        <w:rPr>
          <w:lang w:val="en-US"/>
        </w:rPr>
      </w:pPr>
      <w:r w:rsidRPr="00610164">
        <w:rPr>
          <w:lang w:val="en-US"/>
        </w:rPr>
        <w:t>In India, Satyendra Dubey, an engineer at NHAI, exposed corruption in the Golden Quadrilateral project.</w:t>
      </w:r>
    </w:p>
    <w:p w14:paraId="44BCA1A4" w14:textId="77777777" w:rsidR="0081737C" w:rsidRPr="00610164" w:rsidRDefault="0081737C" w:rsidP="0081737C">
      <w:pPr>
        <w:pStyle w:val="NormalWeb"/>
        <w:ind w:left="5" w:hanging="7"/>
        <w:rPr>
          <w:lang w:val="en-US"/>
        </w:rPr>
      </w:pPr>
      <w:r w:rsidRPr="00610164">
        <w:rPr>
          <w:lang w:val="en-US"/>
        </w:rPr>
        <w:t>Thus, whistleblowing plays a vital role in promoting transparency, accountability, and ethical governance.</w:t>
      </w:r>
    </w:p>
    <w:p w14:paraId="4F9F8EAE" w14:textId="4DC14EBE" w:rsidR="0010334C" w:rsidRDefault="0081737C" w:rsidP="00A110B1">
      <w:pPr>
        <w:tabs>
          <w:tab w:val="left" w:pos="752"/>
        </w:tabs>
        <w:rPr>
          <w:rFonts w:eastAsia="Times New Roman" w:cs="Times New Roman"/>
          <w:b/>
          <w:bCs/>
          <w:kern w:val="0"/>
          <w:sz w:val="24"/>
          <w:szCs w:val="24"/>
          <w:lang w:eastAsia="en-IN" w:bidi="ar-SA"/>
          <w14:ligatures w14:val="none"/>
        </w:rPr>
      </w:pPr>
      <w:r>
        <w:rPr>
          <w:rFonts w:eastAsia="Times New Roman" w:cs="Times New Roman"/>
          <w:b/>
          <w:bCs/>
          <w:kern w:val="0"/>
          <w:sz w:val="24"/>
          <w:szCs w:val="24"/>
          <w:lang w:eastAsia="en-IN" w:bidi="ar-SA"/>
          <w14:ligatures w14:val="none"/>
        </w:rPr>
        <w:t>Q7</w:t>
      </w:r>
    </w:p>
    <w:p w14:paraId="0998725B" w14:textId="5B84EE7B" w:rsidR="00610164" w:rsidRPr="00624087" w:rsidRDefault="00610164" w:rsidP="00610164">
      <w:pPr>
        <w:pStyle w:val="NormalWeb"/>
        <w:ind w:left="5" w:hanging="7"/>
      </w:pPr>
      <w:r w:rsidRPr="00624087">
        <w:t xml:space="preserve">A   </w:t>
      </w:r>
      <w:r w:rsidRPr="00624087">
        <w:rPr>
          <w:bCs/>
        </w:rPr>
        <w:t>Utilitarian Ethics:</w:t>
      </w:r>
      <w:r w:rsidRPr="00624087">
        <w:br/>
      </w:r>
      <w:r w:rsidRPr="00624087">
        <w:rPr>
          <w:i/>
          <w:iCs/>
        </w:rPr>
        <w:t>Utilitarian ethics</w:t>
      </w:r>
      <w:r w:rsidRPr="00624087">
        <w:t xml:space="preserve"> is a consequentialist theory which states that an action is morally right if it produces the greatest good for the greatest number of people. In business, utilitarianism guides decision-making by evaluating the overall benefits and harms of an action on stakeholders. For example, a company deciding to implement eco-friendly production methods may incur higher costs initially but benefits society and the environment, thus maximizing overall welfare.</w:t>
      </w:r>
    </w:p>
    <w:p w14:paraId="3867D2F8" w14:textId="77777777" w:rsidR="00610164" w:rsidRPr="00624087" w:rsidRDefault="00610164" w:rsidP="00610164">
      <w:pPr>
        <w:pStyle w:val="NormalWeb"/>
        <w:ind w:left="5" w:hanging="7"/>
        <w:rPr>
          <w:lang w:val="en-US"/>
        </w:rPr>
      </w:pPr>
      <w:r w:rsidRPr="00624087">
        <w:rPr>
          <w:b/>
          <w:bCs/>
          <w:lang w:val="en-US"/>
        </w:rPr>
        <w:t>B.  Virtue Ethics:</w:t>
      </w:r>
      <w:r w:rsidRPr="00624087">
        <w:rPr>
          <w:lang w:val="en-US"/>
        </w:rPr>
        <w:br/>
      </w:r>
      <w:r w:rsidRPr="00624087">
        <w:rPr>
          <w:i/>
          <w:iCs/>
          <w:lang w:val="en-US"/>
        </w:rPr>
        <w:t>Virtue ethics</w:t>
      </w:r>
      <w:r w:rsidRPr="00624087">
        <w:rPr>
          <w:lang w:val="en-US"/>
        </w:rPr>
        <w:t xml:space="preserve"> emphasizes the development of moral character and virtues such as honesty, courage, and fairness, rather than merely following rules or assessing outcomes. It focuses on </w:t>
      </w:r>
      <w:r w:rsidRPr="00624087">
        <w:rPr>
          <w:lang w:val="en-US"/>
        </w:rPr>
        <w:lastRenderedPageBreak/>
        <w:t>the character of the decision-maker and cultivating ethical habits over time. In a business context, a manager guided by virtue ethics would prioritize integrity and fairness in dealings, even if it does not immediately maximize profit, thereby fostering a culture of trust and ethical behavior.</w:t>
      </w:r>
    </w:p>
    <w:p w14:paraId="021539A2" w14:textId="77777777" w:rsidR="00610164" w:rsidRPr="00624087" w:rsidRDefault="00610164" w:rsidP="00610164">
      <w:pPr>
        <w:pStyle w:val="NormalWeb"/>
        <w:ind w:left="5" w:hanging="7"/>
      </w:pPr>
      <w:r w:rsidRPr="00624087">
        <w:t xml:space="preserve"> Examples may vary from paper to paper</w:t>
      </w:r>
    </w:p>
    <w:p w14:paraId="2243930A" w14:textId="0017E14C" w:rsidR="002A56B4" w:rsidRDefault="00624087" w:rsidP="002A56B4">
      <w:pPr>
        <w:spacing w:before="100" w:beforeAutospacing="1" w:after="100" w:afterAutospacing="1" w:line="240" w:lineRule="auto"/>
        <w:rPr>
          <w:rFonts w:eastAsia="Times New Roman" w:cs="Times New Roman"/>
          <w:kern w:val="0"/>
          <w:sz w:val="24"/>
          <w:szCs w:val="24"/>
          <w:lang w:eastAsia="en-IN" w:bidi="ar-SA"/>
          <w14:ligatures w14:val="none"/>
        </w:rPr>
      </w:pPr>
      <w:r>
        <w:rPr>
          <w:rFonts w:eastAsia="Times New Roman" w:cs="Times New Roman"/>
          <w:kern w:val="0"/>
          <w:sz w:val="24"/>
          <w:szCs w:val="24"/>
          <w:lang w:eastAsia="en-IN" w:bidi="ar-SA"/>
          <w14:ligatures w14:val="none"/>
        </w:rPr>
        <w:t>Q8</w:t>
      </w:r>
    </w:p>
    <w:p w14:paraId="3CB1676E" w14:textId="77777777" w:rsidR="006A254C" w:rsidRPr="006A254C" w:rsidRDefault="006A254C" w:rsidP="006A254C">
      <w:pPr>
        <w:spacing w:after="0" w:line="360" w:lineRule="auto"/>
        <w:ind w:hanging="2"/>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Corporate Social Responsibility (CSR) refers to the ethical obligation of businesses to contribute positively to society, beyond profit-making. It involves integrating social, environmental, and ethical considerations into business operations and stakeholder interactions.</w:t>
      </w:r>
    </w:p>
    <w:p w14:paraId="7CD9AEBD" w14:textId="77777777" w:rsidR="006A254C" w:rsidRPr="006A254C" w:rsidRDefault="006A254C" w:rsidP="006A254C">
      <w:pPr>
        <w:spacing w:after="0" w:line="360" w:lineRule="auto"/>
        <w:ind w:hanging="2"/>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Carroll’s Pyramid of CSR (1991)</w:t>
      </w:r>
    </w:p>
    <w:p w14:paraId="46118950" w14:textId="77777777" w:rsidR="006A254C" w:rsidRPr="006A254C" w:rsidRDefault="006A254C" w:rsidP="006A254C">
      <w:pPr>
        <w:spacing w:after="0" w:line="360" w:lineRule="auto"/>
        <w:ind w:hanging="2"/>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Archie B. Carroll proposed a four-tier model representing different layers of CSR responsibilities:</w:t>
      </w:r>
    </w:p>
    <w:p w14:paraId="29CD9742" w14:textId="77777777" w:rsidR="006A254C" w:rsidRPr="006A254C" w:rsidRDefault="006A254C" w:rsidP="006A254C">
      <w:pPr>
        <w:numPr>
          <w:ilvl w:val="0"/>
          <w:numId w:val="13"/>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Economic Responsibility – The foundation; businesses must be profitable to survive and support other responsibilities.</w:t>
      </w:r>
    </w:p>
    <w:p w14:paraId="4F30869B" w14:textId="77777777" w:rsidR="006A254C" w:rsidRPr="006A254C" w:rsidRDefault="006A254C" w:rsidP="006A254C">
      <w:pPr>
        <w:numPr>
          <w:ilvl w:val="0"/>
          <w:numId w:val="13"/>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Legal Responsibility – Companies must comply with laws and regulations.</w:t>
      </w:r>
    </w:p>
    <w:p w14:paraId="13A8DB07" w14:textId="77777777" w:rsidR="006A254C" w:rsidRPr="006A254C" w:rsidRDefault="006A254C" w:rsidP="006A254C">
      <w:pPr>
        <w:numPr>
          <w:ilvl w:val="0"/>
          <w:numId w:val="13"/>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Ethical Responsibility – Firms should do what is right, fair, and just, even beyond legal requirements.</w:t>
      </w:r>
    </w:p>
    <w:p w14:paraId="4FE7528A" w14:textId="77777777" w:rsidR="006A254C" w:rsidRPr="006A254C" w:rsidRDefault="006A254C" w:rsidP="006A254C">
      <w:pPr>
        <w:numPr>
          <w:ilvl w:val="0"/>
          <w:numId w:val="13"/>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Philanthropic Responsibility – The voluntary aspect of CSR; contributing to community welfare and improving quality of life.</w:t>
      </w:r>
    </w:p>
    <w:p w14:paraId="78565E68" w14:textId="77777777" w:rsidR="006A254C" w:rsidRPr="006A254C" w:rsidRDefault="006A254C" w:rsidP="006A254C">
      <w:pPr>
        <w:spacing w:after="0" w:line="360" w:lineRule="auto"/>
        <w:ind w:hanging="2"/>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This pyramid shows that CSR is a balance between profitability, compliance, ethics, and philanthropy.</w:t>
      </w:r>
    </w:p>
    <w:p w14:paraId="2470B9AA" w14:textId="77777777" w:rsidR="006A254C" w:rsidRPr="006A254C" w:rsidRDefault="006A254C" w:rsidP="006A254C">
      <w:pPr>
        <w:spacing w:after="0" w:line="360" w:lineRule="auto"/>
        <w:ind w:hanging="2"/>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Is CSR Required?</w:t>
      </w:r>
    </w:p>
    <w:p w14:paraId="138F683B" w14:textId="77777777" w:rsidR="006A254C" w:rsidRPr="006A254C" w:rsidRDefault="006A254C" w:rsidP="006A254C">
      <w:pPr>
        <w:spacing w:after="0" w:line="360" w:lineRule="auto"/>
        <w:ind w:hanging="2"/>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Yes, in India CSR is mandatory under Section 135 of the Companies Act, 2013.</w:t>
      </w:r>
      <w:r w:rsidRPr="006A254C">
        <w:rPr>
          <w:rFonts w:ascii="Times New Roman" w:eastAsia="Times New Roman" w:hAnsi="Times New Roman" w:cs="Times New Roman"/>
          <w:sz w:val="24"/>
          <w:szCs w:val="24"/>
        </w:rPr>
        <w:br/>
        <w:t>Companies meeting specific financial criteria (net worth ≥ ₹500 crore, turnover ≥ ₹1000 crore, or net profit ≥ ₹5 crore) must spend 2% of their average net profit of the last three years on CSR activities.</w:t>
      </w:r>
    </w:p>
    <w:p w14:paraId="7F9E5F1E" w14:textId="77777777" w:rsidR="006A254C" w:rsidRPr="006A254C" w:rsidRDefault="006A254C" w:rsidP="006A254C">
      <w:pPr>
        <w:spacing w:after="0" w:line="360" w:lineRule="auto"/>
        <w:ind w:hanging="2"/>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Interesting CSR Practices in the Health Care Sector</w:t>
      </w:r>
    </w:p>
    <w:p w14:paraId="79B4113C" w14:textId="77777777" w:rsidR="006A254C" w:rsidRPr="006A254C" w:rsidRDefault="006A254C" w:rsidP="006A254C">
      <w:pPr>
        <w:numPr>
          <w:ilvl w:val="0"/>
          <w:numId w:val="14"/>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Apollo Hospitals Foundation – Runs preventive health check-up camps and “Saving a Child’s Heart Initiative” for underprivileged children.</w:t>
      </w:r>
    </w:p>
    <w:p w14:paraId="04335A46" w14:textId="77777777" w:rsidR="006A254C" w:rsidRPr="006A254C" w:rsidRDefault="006A254C" w:rsidP="006A254C">
      <w:pPr>
        <w:numPr>
          <w:ilvl w:val="0"/>
          <w:numId w:val="14"/>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Fortis Foundation – Operates blood donation drives and mental health awareness programs.</w:t>
      </w:r>
    </w:p>
    <w:p w14:paraId="411AF543" w14:textId="77777777" w:rsidR="006A254C" w:rsidRPr="006A254C" w:rsidRDefault="006A254C" w:rsidP="006A254C">
      <w:pPr>
        <w:numPr>
          <w:ilvl w:val="0"/>
          <w:numId w:val="14"/>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lastRenderedPageBreak/>
        <w:t>Johnson &amp; Johnson India – Conducts maternal health and hygiene awareness campaigns.</w:t>
      </w:r>
    </w:p>
    <w:p w14:paraId="423FF045" w14:textId="77777777" w:rsidR="006A254C" w:rsidRPr="006A254C" w:rsidRDefault="006A254C" w:rsidP="006A254C">
      <w:pPr>
        <w:numPr>
          <w:ilvl w:val="0"/>
          <w:numId w:val="14"/>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Pfizer India – Partners with NGOs for disease prevention and vaccination drives in rural areas.</w:t>
      </w:r>
    </w:p>
    <w:p w14:paraId="29F1543F" w14:textId="77777777" w:rsidR="006A254C" w:rsidRPr="006A254C" w:rsidRDefault="006A254C" w:rsidP="006A254C">
      <w:pPr>
        <w:numPr>
          <w:ilvl w:val="0"/>
          <w:numId w:val="14"/>
        </w:numPr>
        <w:suppressAutoHyphens/>
        <w:spacing w:after="0" w:line="360" w:lineRule="auto"/>
        <w:ind w:leftChars="-1" w:left="0" w:hangingChars="1" w:hanging="2"/>
        <w:textDirection w:val="btLr"/>
        <w:textAlignment w:val="top"/>
        <w:outlineLvl w:val="0"/>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Tata Trusts – Supports cancer care networks and rural health infrastructure.</w:t>
      </w:r>
    </w:p>
    <w:p w14:paraId="2A39ABD0" w14:textId="77777777" w:rsidR="006A254C" w:rsidRPr="006A254C" w:rsidRDefault="006A254C" w:rsidP="006A254C">
      <w:pPr>
        <w:spacing w:after="0" w:line="360" w:lineRule="auto"/>
        <w:ind w:hanging="2"/>
        <w:rPr>
          <w:rFonts w:ascii="Times New Roman" w:eastAsia="Times New Roman" w:hAnsi="Times New Roman" w:cs="Times New Roman"/>
          <w:sz w:val="24"/>
          <w:szCs w:val="24"/>
        </w:rPr>
      </w:pPr>
      <w:r w:rsidRPr="006A254C">
        <w:rPr>
          <w:rFonts w:ascii="Times New Roman" w:eastAsia="Times New Roman" w:hAnsi="Times New Roman" w:cs="Times New Roman"/>
          <w:sz w:val="24"/>
          <w:szCs w:val="24"/>
        </w:rPr>
        <w:t>The example can be anywhere in the world; these are indicative examples.</w:t>
      </w:r>
    </w:p>
    <w:p w14:paraId="15EC8623" w14:textId="77777777" w:rsidR="00624087" w:rsidRPr="006A254C" w:rsidRDefault="00624087" w:rsidP="002A56B4">
      <w:pPr>
        <w:spacing w:before="100" w:beforeAutospacing="1" w:after="100" w:afterAutospacing="1" w:line="240" w:lineRule="auto"/>
        <w:rPr>
          <w:rFonts w:eastAsia="Times New Roman" w:cs="Times New Roman"/>
          <w:kern w:val="0"/>
          <w:sz w:val="24"/>
          <w:szCs w:val="24"/>
          <w:lang w:eastAsia="en-IN" w:bidi="ar-SA"/>
          <w14:ligatures w14:val="none"/>
        </w:rPr>
      </w:pPr>
    </w:p>
    <w:p w14:paraId="0426ED3A" w14:textId="77777777" w:rsidR="00B542CE" w:rsidRPr="0010334C" w:rsidRDefault="00B542CE" w:rsidP="001D26ED">
      <w:pPr>
        <w:spacing w:before="100" w:beforeAutospacing="1" w:after="100" w:afterAutospacing="1" w:line="240" w:lineRule="auto"/>
        <w:ind w:left="720"/>
        <w:rPr>
          <w:rFonts w:eastAsia="Times New Roman" w:cs="Times New Roman"/>
          <w:kern w:val="0"/>
          <w:sz w:val="24"/>
          <w:szCs w:val="24"/>
          <w:lang w:eastAsia="en-IN" w:bidi="ar-SA"/>
          <w14:ligatures w14:val="none"/>
        </w:rPr>
      </w:pPr>
    </w:p>
    <w:sectPr w:rsidR="00B542CE" w:rsidRPr="0010334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7FFE" w14:textId="77777777" w:rsidR="009C0264" w:rsidRDefault="009C0264" w:rsidP="0010334C">
      <w:pPr>
        <w:spacing w:after="0" w:line="240" w:lineRule="auto"/>
      </w:pPr>
      <w:r>
        <w:separator/>
      </w:r>
    </w:p>
  </w:endnote>
  <w:endnote w:type="continuationSeparator" w:id="0">
    <w:p w14:paraId="51CA14DE" w14:textId="77777777" w:rsidR="009C0264" w:rsidRDefault="009C0264" w:rsidP="0010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366453"/>
      <w:docPartObj>
        <w:docPartGallery w:val="Page Numbers (Bottom of Page)"/>
        <w:docPartUnique/>
      </w:docPartObj>
    </w:sdtPr>
    <w:sdtEndPr>
      <w:rPr>
        <w:noProof/>
      </w:rPr>
    </w:sdtEndPr>
    <w:sdtContent>
      <w:p w14:paraId="0C625327" w14:textId="276DF4A3" w:rsidR="0010334C" w:rsidRDefault="001033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9161D" w14:textId="77777777" w:rsidR="0010334C" w:rsidRDefault="0010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143D9" w14:textId="77777777" w:rsidR="009C0264" w:rsidRDefault="009C0264" w:rsidP="0010334C">
      <w:pPr>
        <w:spacing w:after="0" w:line="240" w:lineRule="auto"/>
      </w:pPr>
      <w:r>
        <w:separator/>
      </w:r>
    </w:p>
  </w:footnote>
  <w:footnote w:type="continuationSeparator" w:id="0">
    <w:p w14:paraId="0014745C" w14:textId="77777777" w:rsidR="009C0264" w:rsidRDefault="009C0264" w:rsidP="00103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9C6"/>
    <w:multiLevelType w:val="multilevel"/>
    <w:tmpl w:val="36584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D4CE5"/>
    <w:multiLevelType w:val="multilevel"/>
    <w:tmpl w:val="8578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512B7"/>
    <w:multiLevelType w:val="multilevel"/>
    <w:tmpl w:val="7938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B5E4D"/>
    <w:multiLevelType w:val="multilevel"/>
    <w:tmpl w:val="D1E60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0423B"/>
    <w:multiLevelType w:val="multilevel"/>
    <w:tmpl w:val="39CA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946B3"/>
    <w:multiLevelType w:val="multilevel"/>
    <w:tmpl w:val="0D2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203B3"/>
    <w:multiLevelType w:val="multilevel"/>
    <w:tmpl w:val="3DD8F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B3BEB"/>
    <w:multiLevelType w:val="multilevel"/>
    <w:tmpl w:val="A926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92EAD"/>
    <w:multiLevelType w:val="multilevel"/>
    <w:tmpl w:val="9DA4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95B93"/>
    <w:multiLevelType w:val="multilevel"/>
    <w:tmpl w:val="D538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B56FC8"/>
    <w:multiLevelType w:val="multilevel"/>
    <w:tmpl w:val="3202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6799E"/>
    <w:multiLevelType w:val="multilevel"/>
    <w:tmpl w:val="E4C88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7B39FD"/>
    <w:multiLevelType w:val="multilevel"/>
    <w:tmpl w:val="B0C6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03779E"/>
    <w:multiLevelType w:val="multilevel"/>
    <w:tmpl w:val="586C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712510">
    <w:abstractNumId w:val="4"/>
  </w:num>
  <w:num w:numId="2" w16cid:durableId="921764167">
    <w:abstractNumId w:val="0"/>
  </w:num>
  <w:num w:numId="3" w16cid:durableId="485778701">
    <w:abstractNumId w:val="9"/>
  </w:num>
  <w:num w:numId="4" w16cid:durableId="1203399484">
    <w:abstractNumId w:val="10"/>
  </w:num>
  <w:num w:numId="5" w16cid:durableId="145977934">
    <w:abstractNumId w:val="3"/>
  </w:num>
  <w:num w:numId="6" w16cid:durableId="1488277094">
    <w:abstractNumId w:val="12"/>
  </w:num>
  <w:num w:numId="7" w16cid:durableId="1188641093">
    <w:abstractNumId w:val="8"/>
  </w:num>
  <w:num w:numId="8" w16cid:durableId="39282843">
    <w:abstractNumId w:val="5"/>
  </w:num>
  <w:num w:numId="9" w16cid:durableId="1628046477">
    <w:abstractNumId w:val="7"/>
  </w:num>
  <w:num w:numId="10" w16cid:durableId="861363337">
    <w:abstractNumId w:val="1"/>
  </w:num>
  <w:num w:numId="11" w16cid:durableId="1982539188">
    <w:abstractNumId w:val="13"/>
  </w:num>
  <w:num w:numId="12" w16cid:durableId="844709691">
    <w:abstractNumId w:val="2"/>
  </w:num>
  <w:num w:numId="13" w16cid:durableId="1304042169">
    <w:abstractNumId w:val="11"/>
  </w:num>
  <w:num w:numId="14" w16cid:durableId="1638295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CF"/>
    <w:rsid w:val="00002A00"/>
    <w:rsid w:val="00016CCF"/>
    <w:rsid w:val="0002687D"/>
    <w:rsid w:val="000A54BF"/>
    <w:rsid w:val="0010334C"/>
    <w:rsid w:val="001A3958"/>
    <w:rsid w:val="001B51B2"/>
    <w:rsid w:val="001C3065"/>
    <w:rsid w:val="001D26ED"/>
    <w:rsid w:val="00253909"/>
    <w:rsid w:val="002A56B4"/>
    <w:rsid w:val="003337F8"/>
    <w:rsid w:val="00357EB5"/>
    <w:rsid w:val="003A3ECF"/>
    <w:rsid w:val="003B5BF8"/>
    <w:rsid w:val="00442755"/>
    <w:rsid w:val="00476495"/>
    <w:rsid w:val="004B57A8"/>
    <w:rsid w:val="0050033D"/>
    <w:rsid w:val="005050E6"/>
    <w:rsid w:val="005205EE"/>
    <w:rsid w:val="0055315F"/>
    <w:rsid w:val="0059531F"/>
    <w:rsid w:val="00610164"/>
    <w:rsid w:val="00624087"/>
    <w:rsid w:val="006333B9"/>
    <w:rsid w:val="00642388"/>
    <w:rsid w:val="006A254C"/>
    <w:rsid w:val="006F4493"/>
    <w:rsid w:val="007070F6"/>
    <w:rsid w:val="00782C80"/>
    <w:rsid w:val="007951AA"/>
    <w:rsid w:val="007B6C1E"/>
    <w:rsid w:val="007C7538"/>
    <w:rsid w:val="0081737C"/>
    <w:rsid w:val="00854E35"/>
    <w:rsid w:val="008677CC"/>
    <w:rsid w:val="008879E8"/>
    <w:rsid w:val="008A015F"/>
    <w:rsid w:val="008B3B65"/>
    <w:rsid w:val="008D5D4E"/>
    <w:rsid w:val="00930E7C"/>
    <w:rsid w:val="0093330E"/>
    <w:rsid w:val="009A6B42"/>
    <w:rsid w:val="009C0264"/>
    <w:rsid w:val="00A110B1"/>
    <w:rsid w:val="00A531EE"/>
    <w:rsid w:val="00A60F17"/>
    <w:rsid w:val="00AC79B0"/>
    <w:rsid w:val="00B21E2E"/>
    <w:rsid w:val="00B278EA"/>
    <w:rsid w:val="00B542CE"/>
    <w:rsid w:val="00B55C25"/>
    <w:rsid w:val="00BC72E8"/>
    <w:rsid w:val="00BF4869"/>
    <w:rsid w:val="00CF73FD"/>
    <w:rsid w:val="00DB36EE"/>
    <w:rsid w:val="00DF221C"/>
    <w:rsid w:val="00E7320E"/>
    <w:rsid w:val="00EC2BFF"/>
    <w:rsid w:val="00EF1E5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C3A47"/>
  <w15:chartTrackingRefBased/>
  <w15:docId w15:val="{FCB59F6D-12A0-437E-9CF6-67107E25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EC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3A3EC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A3EC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A3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E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EC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3A3EC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A3EC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A3E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E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E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E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E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ECF"/>
    <w:rPr>
      <w:rFonts w:eastAsiaTheme="majorEastAsia" w:cstheme="majorBidi"/>
      <w:color w:val="272727" w:themeColor="text1" w:themeTint="D8"/>
    </w:rPr>
  </w:style>
  <w:style w:type="paragraph" w:styleId="Title">
    <w:name w:val="Title"/>
    <w:basedOn w:val="Normal"/>
    <w:next w:val="Normal"/>
    <w:link w:val="TitleChar"/>
    <w:uiPriority w:val="10"/>
    <w:qFormat/>
    <w:rsid w:val="003A3EC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A3EC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A3EC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A3EC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A3ECF"/>
    <w:pPr>
      <w:spacing w:before="160"/>
      <w:jc w:val="center"/>
    </w:pPr>
    <w:rPr>
      <w:i/>
      <w:iCs/>
      <w:color w:val="404040" w:themeColor="text1" w:themeTint="BF"/>
    </w:rPr>
  </w:style>
  <w:style w:type="character" w:customStyle="1" w:styleId="QuoteChar">
    <w:name w:val="Quote Char"/>
    <w:basedOn w:val="DefaultParagraphFont"/>
    <w:link w:val="Quote"/>
    <w:uiPriority w:val="29"/>
    <w:rsid w:val="003A3ECF"/>
    <w:rPr>
      <w:i/>
      <w:iCs/>
      <w:color w:val="404040" w:themeColor="text1" w:themeTint="BF"/>
    </w:rPr>
  </w:style>
  <w:style w:type="paragraph" w:styleId="ListParagraph">
    <w:name w:val="List Paragraph"/>
    <w:basedOn w:val="Normal"/>
    <w:uiPriority w:val="34"/>
    <w:qFormat/>
    <w:rsid w:val="003A3ECF"/>
    <w:pPr>
      <w:ind w:left="720"/>
      <w:contextualSpacing/>
    </w:pPr>
  </w:style>
  <w:style w:type="character" w:styleId="IntenseEmphasis">
    <w:name w:val="Intense Emphasis"/>
    <w:basedOn w:val="DefaultParagraphFont"/>
    <w:uiPriority w:val="21"/>
    <w:qFormat/>
    <w:rsid w:val="003A3ECF"/>
    <w:rPr>
      <w:i/>
      <w:iCs/>
      <w:color w:val="0F4761" w:themeColor="accent1" w:themeShade="BF"/>
    </w:rPr>
  </w:style>
  <w:style w:type="paragraph" w:styleId="IntenseQuote">
    <w:name w:val="Intense Quote"/>
    <w:basedOn w:val="Normal"/>
    <w:next w:val="Normal"/>
    <w:link w:val="IntenseQuoteChar"/>
    <w:uiPriority w:val="30"/>
    <w:qFormat/>
    <w:rsid w:val="003A3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ECF"/>
    <w:rPr>
      <w:i/>
      <w:iCs/>
      <w:color w:val="0F4761" w:themeColor="accent1" w:themeShade="BF"/>
    </w:rPr>
  </w:style>
  <w:style w:type="character" w:styleId="IntenseReference">
    <w:name w:val="Intense Reference"/>
    <w:basedOn w:val="DefaultParagraphFont"/>
    <w:uiPriority w:val="32"/>
    <w:qFormat/>
    <w:rsid w:val="003A3ECF"/>
    <w:rPr>
      <w:b/>
      <w:bCs/>
      <w:smallCaps/>
      <w:color w:val="0F4761" w:themeColor="accent1" w:themeShade="BF"/>
      <w:spacing w:val="5"/>
    </w:rPr>
  </w:style>
  <w:style w:type="character" w:styleId="Strong">
    <w:name w:val="Strong"/>
    <w:basedOn w:val="DefaultParagraphFont"/>
    <w:uiPriority w:val="22"/>
    <w:qFormat/>
    <w:rsid w:val="00DF221C"/>
    <w:rPr>
      <w:b/>
      <w:bCs/>
    </w:rPr>
  </w:style>
  <w:style w:type="character" w:styleId="Emphasis">
    <w:name w:val="Emphasis"/>
    <w:basedOn w:val="DefaultParagraphFont"/>
    <w:uiPriority w:val="20"/>
    <w:qFormat/>
    <w:rsid w:val="00DB36EE"/>
    <w:rPr>
      <w:i/>
      <w:iCs/>
    </w:rPr>
  </w:style>
  <w:style w:type="paragraph" w:styleId="NormalWeb">
    <w:name w:val="Normal (Web)"/>
    <w:basedOn w:val="Normal"/>
    <w:uiPriority w:val="99"/>
    <w:unhideWhenUsed/>
    <w:rsid w:val="00016CC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Header">
    <w:name w:val="header"/>
    <w:basedOn w:val="Normal"/>
    <w:link w:val="HeaderChar"/>
    <w:uiPriority w:val="99"/>
    <w:unhideWhenUsed/>
    <w:rsid w:val="0010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34C"/>
  </w:style>
  <w:style w:type="paragraph" w:styleId="Footer">
    <w:name w:val="footer"/>
    <w:basedOn w:val="Normal"/>
    <w:link w:val="FooterChar"/>
    <w:uiPriority w:val="99"/>
    <w:unhideWhenUsed/>
    <w:rsid w:val="0010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34C"/>
  </w:style>
  <w:style w:type="table" w:customStyle="1" w:styleId="1">
    <w:name w:val="1"/>
    <w:basedOn w:val="TableNormal"/>
    <w:rsid w:val="00610164"/>
    <w:pPr>
      <w:spacing w:after="200" w:line="276" w:lineRule="auto"/>
    </w:pPr>
    <w:rPr>
      <w:rFonts w:ascii="Calibri" w:eastAsia="Calibri" w:hAnsi="Calibri" w:cs="Calibri"/>
      <w:kern w:val="0"/>
      <w:szCs w:val="22"/>
      <w:lang w:val="en-US" w:eastAsia="en-IN" w:bidi="ar-SA"/>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Mathew</dc:creator>
  <cp:keywords/>
  <dc:description/>
  <cp:lastModifiedBy>Jaya Mathew</cp:lastModifiedBy>
  <cp:revision>5</cp:revision>
  <dcterms:created xsi:type="dcterms:W3CDTF">2025-10-13T14:09:00Z</dcterms:created>
  <dcterms:modified xsi:type="dcterms:W3CDTF">2025-10-13T17:30:00Z</dcterms:modified>
</cp:coreProperties>
</file>