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BF7" w14:textId="77777777" w:rsidR="00B04BA2" w:rsidRPr="00A833B3" w:rsidRDefault="00F65D46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33B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B04BA2" w:rsidRPr="00A833B3" w14:paraId="7E9ED041" w14:textId="77777777" w:rsidTr="00B463DF">
        <w:trPr>
          <w:trHeight w:val="330"/>
          <w:jc w:val="center"/>
        </w:trPr>
        <w:tc>
          <w:tcPr>
            <w:tcW w:w="10343" w:type="dxa"/>
            <w:gridSpan w:val="3"/>
            <w:vAlign w:val="center"/>
          </w:tcPr>
          <w:p w14:paraId="2100D02B" w14:textId="481364C1" w:rsidR="00B04BA2" w:rsidRPr="00A833B3" w:rsidRDefault="00402B5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III</w:t>
            </w:r>
            <w:r w:rsidR="00412791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July-</w:t>
            </w:r>
            <w:r w:rsidR="00C20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</w:t>
            </w:r>
            <w:r w:rsidR="005302A2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14:paraId="373EC881" w14:textId="75582474" w:rsidR="00B04BA2" w:rsidRPr="00A833B3" w:rsidRDefault="00F65D4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Marks:</w:t>
            </w:r>
            <w:r w:rsidR="00402B5F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50</w:t>
            </w: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B46F5D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951F4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703B10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ETE</w:t>
            </w:r>
            <w:r w:rsidR="006A10B7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 </w:t>
            </w:r>
            <w:r w:rsidR="00FF41E0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20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06-11-25</w:t>
            </w: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A10B7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CA2927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0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A2927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Hrs</w:t>
            </w:r>
          </w:p>
        </w:tc>
      </w:tr>
      <w:tr w:rsidR="00B04BA2" w:rsidRPr="00A833B3" w14:paraId="0C126FB2" w14:textId="77777777" w:rsidTr="00DE6AA2">
        <w:trPr>
          <w:trHeight w:val="665"/>
          <w:jc w:val="center"/>
        </w:trPr>
        <w:tc>
          <w:tcPr>
            <w:tcW w:w="5382" w:type="dxa"/>
            <w:vAlign w:val="center"/>
          </w:tcPr>
          <w:p w14:paraId="2DA85430" w14:textId="56D7980C" w:rsidR="00B04BA2" w:rsidRPr="00A833B3" w:rsidRDefault="00F65D4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  <w:r w:rsidR="005410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0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2DB2719B" w14:textId="6499E14A" w:rsidR="00B04BA2" w:rsidRPr="00A833B3" w:rsidRDefault="00F65D4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r w:rsidR="009E75D0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MBA</w:t>
            </w:r>
            <w:r w:rsidR="00DE6A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(Business Economics Minor)</w:t>
            </w:r>
            <w:r w:rsidR="009E75D0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1" w:type="dxa"/>
            <w:vAlign w:val="center"/>
          </w:tcPr>
          <w:p w14:paraId="31BD1BAE" w14:textId="7EF8862E" w:rsidR="00B04BA2" w:rsidRPr="00A833B3" w:rsidRDefault="00F65D4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5302A2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200" w:type="dxa"/>
            <w:vAlign w:val="center"/>
          </w:tcPr>
          <w:p w14:paraId="3EDBA9EB" w14:textId="48D60619" w:rsidR="00B04BA2" w:rsidRPr="00A833B3" w:rsidRDefault="00F65D4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402B5F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="009E75D0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04BA2" w:rsidRPr="00A833B3" w14:paraId="1A0D59AF" w14:textId="77777777" w:rsidTr="00DE6AA2">
        <w:trPr>
          <w:trHeight w:val="673"/>
          <w:jc w:val="center"/>
        </w:trPr>
        <w:tc>
          <w:tcPr>
            <w:tcW w:w="5382" w:type="dxa"/>
            <w:vAlign w:val="center"/>
          </w:tcPr>
          <w:p w14:paraId="3A53B28B" w14:textId="1812A2A1" w:rsidR="00B04BA2" w:rsidRPr="00A833B3" w:rsidRDefault="00F65D4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961" w:type="dxa"/>
            <w:gridSpan w:val="2"/>
            <w:vAlign w:val="center"/>
          </w:tcPr>
          <w:p w14:paraId="37F53EC9" w14:textId="77777777" w:rsidR="00B04BA2" w:rsidRPr="00A833B3" w:rsidRDefault="00F65D4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</w:p>
          <w:p w14:paraId="56767903" w14:textId="38D0A35F" w:rsidR="00B04BA2" w:rsidRPr="00A833B3" w:rsidRDefault="009E75D0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Economics</w:t>
            </w:r>
          </w:p>
        </w:tc>
      </w:tr>
      <w:tr w:rsidR="00B04BA2" w:rsidRPr="00A833B3" w14:paraId="489AC586" w14:textId="77777777" w:rsidTr="00DE6AA2">
        <w:trPr>
          <w:trHeight w:val="526"/>
          <w:jc w:val="center"/>
        </w:trPr>
        <w:tc>
          <w:tcPr>
            <w:tcW w:w="5382" w:type="dxa"/>
            <w:vAlign w:val="center"/>
          </w:tcPr>
          <w:p w14:paraId="0D365024" w14:textId="629286D9" w:rsidR="00B04BA2" w:rsidRPr="00A833B3" w:rsidRDefault="00F65D46" w:rsidP="00402B5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Code:</w:t>
            </w:r>
            <w:r w:rsidR="00C20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026D" w:rsidRPr="00C20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17P2297</w:t>
            </w:r>
          </w:p>
        </w:tc>
        <w:tc>
          <w:tcPr>
            <w:tcW w:w="4961" w:type="dxa"/>
            <w:gridSpan w:val="2"/>
            <w:vAlign w:val="center"/>
          </w:tcPr>
          <w:p w14:paraId="77AD2614" w14:textId="7CECE8F5" w:rsidR="00B04BA2" w:rsidRPr="00A833B3" w:rsidRDefault="00F65D4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</w:t>
            </w:r>
            <w:r w:rsidR="009E75D0"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Corporate Governance</w:t>
            </w:r>
          </w:p>
        </w:tc>
      </w:tr>
      <w:tr w:rsidR="00B04BA2" w:rsidRPr="00A833B3" w14:paraId="1C747F8E" w14:textId="77777777" w:rsidTr="00B463DF">
        <w:trPr>
          <w:jc w:val="center"/>
        </w:trPr>
        <w:tc>
          <w:tcPr>
            <w:tcW w:w="10343" w:type="dxa"/>
            <w:gridSpan w:val="3"/>
            <w:vAlign w:val="center"/>
          </w:tcPr>
          <w:p w14:paraId="6B8B16E6" w14:textId="275FC08F" w:rsidR="00B04BA2" w:rsidRPr="00A833B3" w:rsidRDefault="00F65D4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1F6B0265" w14:textId="6747AB5D" w:rsidR="009567DB" w:rsidRPr="00A833B3" w:rsidRDefault="009567D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860459" w14:textId="04E5B9DD" w:rsidR="009567DB" w:rsidRPr="00A833B3" w:rsidRDefault="009567DB" w:rsidP="009567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Attempt ALL 3 questions 1 to 3, each carries 10 marks. Each answer of Qns. 1-3 to be limited to 35-40 lines.</w:t>
            </w:r>
          </w:p>
          <w:p w14:paraId="1821C3DF" w14:textId="6263F9AF" w:rsidR="009567DB" w:rsidRPr="00A833B3" w:rsidRDefault="009567D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6E86D7" w14:textId="0138F930" w:rsidR="009567DB" w:rsidRPr="00A833B3" w:rsidRDefault="009567DB" w:rsidP="009567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From Questions 4 and 5, attempt </w:t>
            </w: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ANYONE</w:t>
            </w: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which carries 20 marks. Answer the question 4 or 5 in about 60 lines.</w:t>
            </w:r>
          </w:p>
          <w:p w14:paraId="7498940C" w14:textId="06C9BE19" w:rsidR="0003731C" w:rsidRPr="00A833B3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Pr="00A833B3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A833B3" w14:paraId="6013C33F" w14:textId="77777777" w:rsidTr="00B463DF">
        <w:trPr>
          <w:trHeight w:val="1140"/>
        </w:trPr>
        <w:tc>
          <w:tcPr>
            <w:tcW w:w="1135" w:type="dxa"/>
          </w:tcPr>
          <w:p w14:paraId="1F1478C2" w14:textId="77777777" w:rsidR="00B04BA2" w:rsidRPr="00A833B3" w:rsidRDefault="00F65D4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A833B3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A833B3" w:rsidRDefault="00F65D4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A833B3" w:rsidRDefault="00F65D4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A833B3" w14:paraId="76AC2678" w14:textId="77777777" w:rsidTr="009567DB">
        <w:trPr>
          <w:trHeight w:val="1140"/>
        </w:trPr>
        <w:tc>
          <w:tcPr>
            <w:tcW w:w="1135" w:type="dxa"/>
            <w:vAlign w:val="center"/>
          </w:tcPr>
          <w:p w14:paraId="713623D2" w14:textId="27D46EA2" w:rsidR="00B04BA2" w:rsidRPr="00A833B3" w:rsidRDefault="009567DB" w:rsidP="009567D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4" w:type="dxa"/>
          </w:tcPr>
          <w:p w14:paraId="45092A9F" w14:textId="77777777" w:rsidR="00B04BA2" w:rsidRPr="00A833B3" w:rsidRDefault="00B04BA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0FA9" w14:textId="7B044B6D" w:rsidR="00B04BA2" w:rsidRPr="00A833B3" w:rsidRDefault="00D71B8F" w:rsidP="00D71B8F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hAnsi="Times New Roman" w:cs="Times New Roman"/>
                <w:sz w:val="24"/>
                <w:szCs w:val="24"/>
              </w:rPr>
              <w:t xml:space="preserve">Why do </w:t>
            </w:r>
            <w:r w:rsidR="00CD4D60"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r w:rsidR="00CD4D60" w:rsidRPr="00CD4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understand</w:t>
            </w:r>
            <w:r w:rsidR="00CD4D60">
              <w:rPr>
                <w:rFonts w:ascii="Times New Roman" w:hAnsi="Times New Roman" w:cs="Times New Roman"/>
                <w:sz w:val="24"/>
                <w:szCs w:val="24"/>
              </w:rPr>
              <w:t xml:space="preserve"> by role of</w:t>
            </w:r>
            <w:r w:rsidRPr="00A833B3">
              <w:rPr>
                <w:rFonts w:ascii="Times New Roman" w:hAnsi="Times New Roman" w:cs="Times New Roman"/>
                <w:sz w:val="24"/>
                <w:szCs w:val="24"/>
              </w:rPr>
              <w:t xml:space="preserve"> Board of Directors</w:t>
            </w:r>
            <w:r w:rsidR="00CD4D60">
              <w:rPr>
                <w:rFonts w:ascii="Times New Roman" w:hAnsi="Times New Roman" w:cs="Times New Roman"/>
                <w:sz w:val="24"/>
                <w:szCs w:val="24"/>
              </w:rPr>
              <w:t xml:space="preserve"> of a listed company</w:t>
            </w:r>
            <w:r w:rsidRPr="00A833B3">
              <w:rPr>
                <w:rFonts w:ascii="Times New Roman" w:hAnsi="Times New Roman" w:cs="Times New Roman"/>
                <w:sz w:val="24"/>
                <w:szCs w:val="24"/>
              </w:rPr>
              <w:t xml:space="preserve">? If you have the requisite power to affect, how you would like to have the Board structured for a steel company which ranks second in India and poised to become the Top in the country in the next 3 years and in a major manufacturer in the South Asian Region by 2035? </w:t>
            </w:r>
          </w:p>
        </w:tc>
        <w:tc>
          <w:tcPr>
            <w:tcW w:w="992" w:type="dxa"/>
            <w:vAlign w:val="center"/>
          </w:tcPr>
          <w:p w14:paraId="0571B7FD" w14:textId="69D74E9F" w:rsidR="00B04BA2" w:rsidRPr="00A833B3" w:rsidRDefault="009567DB" w:rsidP="009567D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34539" w:rsidRPr="00A833B3" w14:paraId="6E644961" w14:textId="77777777" w:rsidTr="009567DB">
        <w:trPr>
          <w:trHeight w:val="1140"/>
        </w:trPr>
        <w:tc>
          <w:tcPr>
            <w:tcW w:w="1135" w:type="dxa"/>
            <w:vAlign w:val="center"/>
          </w:tcPr>
          <w:p w14:paraId="2D878D33" w14:textId="1BA4F460" w:rsidR="00B04BA2" w:rsidRPr="00A833B3" w:rsidRDefault="009567DB" w:rsidP="009567D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4440B365" w14:textId="054998ED" w:rsidR="00B04BA2" w:rsidRPr="00A833B3" w:rsidRDefault="00B04BA2" w:rsidP="009567DB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2F09AE" w14:textId="77777777" w:rsidR="00B04BA2" w:rsidRPr="00A833B3" w:rsidRDefault="00B04BA2" w:rsidP="009567D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4" w:type="dxa"/>
          </w:tcPr>
          <w:p w14:paraId="1594FAC7" w14:textId="77777777" w:rsidR="00D71B8F" w:rsidRPr="00A833B3" w:rsidRDefault="00D71B8F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39CE2" w14:textId="6B659876" w:rsidR="00A833B3" w:rsidRPr="00A833B3" w:rsidRDefault="00A833B3" w:rsidP="006243FF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33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Write on any </w:t>
            </w:r>
            <w:r w:rsidR="009406FE" w:rsidRPr="009406F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IN"/>
              </w:rPr>
              <w:t>ONE</w:t>
            </w:r>
            <w:r w:rsidRPr="00A833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of the following scandals</w:t>
            </w:r>
            <w:r w:rsidR="0009218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by </w:t>
            </w:r>
            <w:r w:rsidR="00092180" w:rsidRPr="000921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Develop</w:t>
            </w:r>
            <w:r w:rsidR="000921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ing</w:t>
            </w:r>
            <w:r w:rsidR="0009218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 suitable framework for avoiding recurrence of such scandals in the Indian context. </w:t>
            </w:r>
            <w:r w:rsidRPr="00A833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  <w:p w14:paraId="52896CE4" w14:textId="77777777" w:rsidR="00A833B3" w:rsidRPr="00A833B3" w:rsidRDefault="00A833B3" w:rsidP="006243FF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74D502E5" w14:textId="536B18F1" w:rsidR="006243FF" w:rsidRPr="00A833B3" w:rsidRDefault="006243FF" w:rsidP="006243FF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A833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Brief about the Scandal, When &amp; Where the scandal t</w:t>
            </w:r>
            <w:r w:rsidR="00A833B3" w:rsidRPr="00A833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ook</w:t>
            </w:r>
            <w:r w:rsidRPr="00A833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place, monetary loss and erosion of reputation, Key Timeline, Modus Operandi, Lessons Learn</w:t>
            </w:r>
            <w:r w:rsidR="00A833B3" w:rsidRPr="00A833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 w:rsidRPr="00A833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Corrective Actions</w:t>
            </w:r>
            <w:r w:rsidR="00A833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833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Initiated</w:t>
            </w:r>
            <w:r w:rsidR="00A833B3" w:rsidRPr="00A833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. </w:t>
            </w:r>
          </w:p>
          <w:p w14:paraId="5B653E8E" w14:textId="77777777" w:rsidR="00A833B3" w:rsidRPr="00A833B3" w:rsidRDefault="00A833B3" w:rsidP="006243FF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0EF12A02" w14:textId="7E871B32" w:rsidR="00A833B3" w:rsidRPr="00A833B3" w:rsidRDefault="00A833B3" w:rsidP="006243F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val="en-IN" w:eastAsia="en-IN"/>
              </w:rPr>
            </w:pPr>
            <w:r w:rsidRPr="006243F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val="en-IN" w:eastAsia="en-IN"/>
              </w:rPr>
              <w:t>Xerox</w:t>
            </w:r>
            <w:r w:rsidRPr="00A833B3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val="en-IN" w:eastAsia="en-IN"/>
              </w:rPr>
              <w:t xml:space="preserve">/ NSE Colocation, Worldcom, Sharada Chit Fund, BCCI, ICICI-Videocon Loan, Qwest Communications, Yes Bank, IL&amp;FS, DHFL, Café Coffee Day, Jet Airways, Lehman Brothers, PNB Scam, </w:t>
            </w:r>
            <w:r w:rsidRPr="006243F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val="en-IN" w:eastAsia="en-IN"/>
              </w:rPr>
              <w:t>Volkswagen Emissions</w:t>
            </w:r>
            <w:r w:rsidRPr="00A833B3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val="en-IN" w:eastAsia="en-IN"/>
              </w:rPr>
              <w:t xml:space="preserve">, </w:t>
            </w:r>
            <w:r w:rsidRPr="006243FF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val="en-IN" w:eastAsia="en-IN"/>
              </w:rPr>
              <w:t>Silicon Valley Bank</w:t>
            </w:r>
            <w:r w:rsidRPr="00A833B3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val="en-IN" w:eastAsia="en-IN"/>
              </w:rPr>
              <w:t>, and Byju’s</w:t>
            </w: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val="en-IN" w:eastAsia="en-IN"/>
              </w:rPr>
              <w:t xml:space="preserve"> </w:t>
            </w:r>
          </w:p>
          <w:p w14:paraId="0492FF7A" w14:textId="014A2765" w:rsidR="00B04BA2" w:rsidRPr="00A833B3" w:rsidRDefault="00B04BA2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5FA5B2" w14:textId="2A4E280E" w:rsidR="00B04BA2" w:rsidRPr="00A833B3" w:rsidRDefault="009567DB" w:rsidP="009567D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34539" w:rsidRPr="00A833B3" w14:paraId="58B5486C" w14:textId="77777777" w:rsidTr="009567DB">
        <w:trPr>
          <w:trHeight w:val="1140"/>
        </w:trPr>
        <w:tc>
          <w:tcPr>
            <w:tcW w:w="1135" w:type="dxa"/>
            <w:vAlign w:val="center"/>
          </w:tcPr>
          <w:p w14:paraId="185FF327" w14:textId="737C7830" w:rsidR="00B04BA2" w:rsidRPr="00A833B3" w:rsidRDefault="009567DB" w:rsidP="009567D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4" w:type="dxa"/>
          </w:tcPr>
          <w:p w14:paraId="33FFCDD9" w14:textId="347D4D87" w:rsidR="00B04BA2" w:rsidRPr="00A833B3" w:rsidRDefault="003046C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“Theories of agency, stewardship, and resource dependence offer dissimilar frameworks for understanding how and why a CEO's personal traits influence a firm's decisions and outcomes”. Elucidate this statement. </w:t>
            </w:r>
            <w:r w:rsidR="00CD4D60" w:rsidRPr="00CD4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Apply</w:t>
            </w:r>
            <w:r w:rsidR="00CD4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above statement for any</w:t>
            </w:r>
            <w:r w:rsidR="00D71B8F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existing Indian or global companies and discuss the role played by any two theories that were covered by the course. </w:t>
            </w:r>
          </w:p>
        </w:tc>
        <w:tc>
          <w:tcPr>
            <w:tcW w:w="992" w:type="dxa"/>
            <w:vAlign w:val="center"/>
          </w:tcPr>
          <w:p w14:paraId="7788DDE3" w14:textId="6636B408" w:rsidR="00B04BA2" w:rsidRPr="00A833B3" w:rsidRDefault="009567DB" w:rsidP="009567D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934539" w:rsidRPr="00A833B3" w14:paraId="44C9F0C0" w14:textId="77777777" w:rsidTr="005C72E0">
        <w:trPr>
          <w:trHeight w:val="841"/>
        </w:trPr>
        <w:tc>
          <w:tcPr>
            <w:tcW w:w="1135" w:type="dxa"/>
            <w:vAlign w:val="center"/>
          </w:tcPr>
          <w:p w14:paraId="3DA833EC" w14:textId="091BBD35" w:rsidR="00B04BA2" w:rsidRPr="00A833B3" w:rsidRDefault="009567DB" w:rsidP="009567D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34" w:type="dxa"/>
          </w:tcPr>
          <w:p w14:paraId="6A6B8C12" w14:textId="77777777" w:rsidR="00B04BA2" w:rsidRPr="00A833B3" w:rsidRDefault="000233C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DCB2A8" w14:textId="1267145A" w:rsidR="0020581E" w:rsidRPr="00A833B3" w:rsidRDefault="00D63864" w:rsidP="005C72E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the </w:t>
            </w:r>
            <w:r w:rsidRPr="00A833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“Money – Global Financial frauds – Personal &amp; Professional value creation”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</w:t>
            </w:r>
            <w:r w:rsidR="005C7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Shri. 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>N. Venkataraman, ASG</w:t>
            </w:r>
            <w:r w:rsidR="00A83C67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Supreme Court of India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D4D60" w:rsidRPr="00CD4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Analyse</w:t>
            </w:r>
            <w:r w:rsidR="00CD4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3C67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 globalization</w:t>
            </w:r>
            <w:r w:rsidR="0020581E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3C67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process </w:t>
            </w:r>
            <w:r w:rsidR="0020581E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changed the way businesses </w:t>
            </w:r>
            <w:r w:rsidR="005C7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been </w:t>
            </w:r>
            <w:r w:rsidR="0020581E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carried out worldwide </w:t>
            </w:r>
            <w:r w:rsidR="00A83C67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over </w:t>
            </w:r>
            <w:r w:rsidR="0020581E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406FE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r w:rsidR="0020581E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06FE"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 w:rsidR="0020581E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>4 decades</w:t>
            </w:r>
            <w:r w:rsidR="005C7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06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</w:t>
            </w:r>
            <w:r w:rsidR="005C72E0">
              <w:rPr>
                <w:rFonts w:ascii="Times New Roman" w:eastAsia="Times New Roman" w:hAnsi="Times New Roman" w:cs="Times New Roman"/>
                <w:sz w:val="24"/>
                <w:szCs w:val="24"/>
              </w:rPr>
              <w:t>compared to the manner in which they were getting conducted in the pre-globalisation era</w:t>
            </w:r>
            <w:r w:rsidR="0020581E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>Write the gist of the underlying reasons behind financial corruption in the corporate world during the post-</w:t>
            </w:r>
            <w:r w:rsidR="0020581E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>global</w:t>
            </w:r>
            <w:r w:rsidR="00A83C67"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economic and financial integration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45BED3A3" w14:textId="74A9E425" w:rsidR="00B04BA2" w:rsidRPr="00A833B3" w:rsidRDefault="009567DB" w:rsidP="009567D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</w:tr>
      <w:tr w:rsidR="002E7700" w:rsidRPr="00A833B3" w14:paraId="523FF3DC" w14:textId="77777777" w:rsidTr="009567DB">
        <w:trPr>
          <w:trHeight w:val="1140"/>
        </w:trPr>
        <w:tc>
          <w:tcPr>
            <w:tcW w:w="1135" w:type="dxa"/>
            <w:vAlign w:val="center"/>
          </w:tcPr>
          <w:p w14:paraId="7211DD0B" w14:textId="7A7B1636" w:rsidR="002E7700" w:rsidRPr="00A833B3" w:rsidRDefault="002E7700" w:rsidP="009567D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34" w:type="dxa"/>
          </w:tcPr>
          <w:p w14:paraId="33CFD7AA" w14:textId="77777777" w:rsidR="005C72E0" w:rsidRDefault="005C72E0" w:rsidP="003665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</w:p>
          <w:p w14:paraId="02351C3F" w14:textId="2FCB8696" w:rsidR="003665D6" w:rsidRPr="00A833B3" w:rsidRDefault="003665D6" w:rsidP="003665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Shell, Nigeria and The Ogoni. A Study </w:t>
            </w:r>
            <w:r w:rsidR="005C7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i</w:t>
            </w:r>
            <w:r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n Unsustainable Development</w:t>
            </w:r>
          </w:p>
          <w:p w14:paraId="6CD6A861" w14:textId="2F61F909" w:rsidR="003665D6" w:rsidRPr="00A833B3" w:rsidRDefault="003665D6" w:rsidP="003665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  <w:p w14:paraId="127A6636" w14:textId="7B623917" w:rsidR="002E7700" w:rsidRPr="002E7700" w:rsidRDefault="002E7700" w:rsidP="002E770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Shell’s exploration began in Nigeria – which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was then a British colony – in 1937 (SPDC,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1998b). The Company discovered its first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commercial oil field in the Delta in 1956 and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by 1958 the first cargo of oil left Nigeria.</w:t>
            </w:r>
          </w:p>
          <w:p w14:paraId="7494F16A" w14:textId="77777777" w:rsidR="005C72E0" w:rsidRDefault="005C72E0" w:rsidP="002E770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4CFEC546" w14:textId="2DF6EAA8" w:rsidR="002E7700" w:rsidRPr="002E7700" w:rsidRDefault="002E7700" w:rsidP="002E770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Today, Shell’s operations in Nigeria account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for 14% of their world-wide crude oil production,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yet account for only about 7% of their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profits. Shell produces half of Nigeria’s total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daily production of 2 million barrels, some of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best crude oil in the world. Shell considers their Nigeria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operations to be ‘arguably Shell’s largest and</w:t>
            </w:r>
          </w:p>
          <w:p w14:paraId="6F3D7903" w14:textId="1FE54E84" w:rsidR="002E7700" w:rsidRPr="00A833B3" w:rsidRDefault="002E7700" w:rsidP="002E770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most complex exploration and production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venture’ outside North America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by mid 1990s.</w:t>
            </w:r>
          </w:p>
          <w:p w14:paraId="2458630D" w14:textId="2172EF25" w:rsidR="002E7700" w:rsidRPr="002E7700" w:rsidRDefault="002E7700" w:rsidP="002E770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.</w:t>
            </w:r>
          </w:p>
          <w:p w14:paraId="253EB8A5" w14:textId="557E092A" w:rsidR="002E7700" w:rsidRPr="002E7700" w:rsidRDefault="002E7700" w:rsidP="002E770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Since the industry’s nationalization in the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1970s, the Nigerian government has operated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joint ventures with foreign oil companies. In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case of Shell’s operations, the government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owns 55% while Shell Petroleum Development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Corporation (SPDC) – Shell’s Nigerian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subsidiary – owns 30% and Elf and Agip hold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rest. Shell is the operating partner making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all day-to-day operational decisions.</w:t>
            </w:r>
          </w:p>
          <w:p w14:paraId="2E089CA4" w14:textId="77777777" w:rsidR="002E7700" w:rsidRPr="00A833B3" w:rsidRDefault="002E7700" w:rsidP="002E770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333172B1" w14:textId="3C0BC884" w:rsidR="002E7700" w:rsidRPr="002E7700" w:rsidRDefault="002E7700" w:rsidP="002E770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Shell has faced many significant challenges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in Nigeria. Rampant corruption, military dictatorships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and the government’s inability to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provide basic development are just a few.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Despite these circumstances the company believes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its ‘most effective contribution to Nigeria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is through the taxes and royalties we pay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[to the federal government]’.</w:t>
            </w:r>
          </w:p>
          <w:p w14:paraId="5DCB22CE" w14:textId="77777777" w:rsidR="002E7700" w:rsidRPr="00A833B3" w:rsidRDefault="002E7700" w:rsidP="002E770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0FB9AE7B" w14:textId="73B953F4" w:rsidR="002E7700" w:rsidRPr="002E7700" w:rsidRDefault="002E7700" w:rsidP="002E7700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Many demands have been made of the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company from the communities and local</w:t>
            </w:r>
          </w:p>
          <w:p w14:paraId="28729467" w14:textId="77777777" w:rsidR="002E7700" w:rsidRPr="00A833B3" w:rsidRDefault="002E7700" w:rsidP="00B607C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E7700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government. The company says that they ‘do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not hold the solution to community demands</w:t>
            </w:r>
            <w:r w:rsidR="00B607C8"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for more amenities, more development, more </w:t>
            </w:r>
            <w:r w:rsidR="00B607C8" w:rsidRPr="00B607C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employment and more control over oil revenues.</w:t>
            </w:r>
            <w:r w:rsidR="00B607C8"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That is primarily a government responsibility’.</w:t>
            </w:r>
          </w:p>
          <w:p w14:paraId="67FE01BB" w14:textId="77777777" w:rsidR="00A16FD8" w:rsidRPr="00A833B3" w:rsidRDefault="00A16FD8" w:rsidP="00B607C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4C66643B" w14:textId="77777777" w:rsidR="00A16FD8" w:rsidRPr="00A833B3" w:rsidRDefault="00A16FD8" w:rsidP="00A16F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Ogoni people live in Rivers State in the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Niger Delta, in south-eastern Nigeria, in an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area that is about 100 square kilometres in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size. They number around 500000 people who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live in six kingdoms. Linguistic studies suggest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they settled in the area currently known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as Ogoni over 2000 years ago. </w:t>
            </w:r>
          </w:p>
          <w:p w14:paraId="341158EE" w14:textId="0F1FF970" w:rsidR="00A16FD8" w:rsidRPr="00A16FD8" w:rsidRDefault="00A16FD8" w:rsidP="00A16F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Ogoni were – and still are today –a largely agricultural and fishing society. The</w:t>
            </w:r>
          </w:p>
          <w:p w14:paraId="38CBD3AE" w14:textId="77777777" w:rsidR="00A16FD8" w:rsidRPr="00A833B3" w:rsidRDefault="00A16FD8" w:rsidP="00A16F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Ogoni claim their land was until the 1960s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known as the ‘breadbasket’ of the region.</w:t>
            </w:r>
          </w:p>
          <w:p w14:paraId="3BA15164" w14:textId="77777777" w:rsidR="00A16FD8" w:rsidRPr="00A833B3" w:rsidRDefault="00A16FD8" w:rsidP="00A16F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287E03B4" w14:textId="6F51DFD9" w:rsidR="00A16FD8" w:rsidRPr="00A16FD8" w:rsidRDefault="00A16FD8" w:rsidP="00A16F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discovery of oil initiated a process that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dramatically affected the Ogoni, the peoples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of the Niger Delta and Nigeria as a whole.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Niger Delta is one of the world’s largest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wetlands, covering over 20000 square kilometres.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fragile eco-systems contained within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area include mangroves, freshwater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swamp forests, lowland rainforests and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coastal barrier islands. It also contains enormous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biodiversity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including unique and rare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species. Most of the six million people living</w:t>
            </w:r>
          </w:p>
          <w:p w14:paraId="78B34DCB" w14:textId="46F39A49" w:rsidR="00A16FD8" w:rsidRPr="00A833B3" w:rsidRDefault="00A16FD8" w:rsidP="00A16F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within the Delta depend on an agricultural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and fishing economy for their survival.  </w:t>
            </w:r>
          </w:p>
          <w:p w14:paraId="761854D3" w14:textId="77777777" w:rsidR="00A16FD8" w:rsidRPr="00A833B3" w:rsidRDefault="00A16FD8" w:rsidP="00A16F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7D6672C2" w14:textId="6BFA93B6" w:rsidR="00A16FD8" w:rsidRPr="00A16FD8" w:rsidRDefault="00A16FD8" w:rsidP="00A16F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Oil impacted directly upon the lives of the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Ogoni people with both environmental and</w:t>
            </w:r>
          </w:p>
          <w:p w14:paraId="7314F2D3" w14:textId="3724901E" w:rsidR="00A16FD8" w:rsidRPr="00A833B3" w:rsidRDefault="00A16FD8" w:rsidP="00A16F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lastRenderedPageBreak/>
              <w:t>social costs. The communities were confronted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first with seismic surveys and building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works, and then with the effects of oil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extraction such as leaks, oil spills and gas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flaring. Apart from the environmental pollution,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communities saw oil exploration as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aggravating already heavy pressure on land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in one of Africa’s most densely populated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regions. However, Shell argues it only uses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0.3% of the Delta for its operations and does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not believe it has a significant impact on land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pressure. </w:t>
            </w:r>
          </w:p>
          <w:p w14:paraId="3AD94B5F" w14:textId="77777777" w:rsidR="00A16FD8" w:rsidRPr="00A833B3" w:rsidRDefault="00A16FD8" w:rsidP="00A16F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3644CAAB" w14:textId="7B28ACAF" w:rsidR="00A16FD8" w:rsidRPr="00A16FD8" w:rsidRDefault="00A16FD8" w:rsidP="00A16F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In addition to the general accusation of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‘devastating’ the environment, the company</w:t>
            </w:r>
          </w:p>
          <w:p w14:paraId="0DDCFEA2" w14:textId="20FA2F69" w:rsidR="00A16FD8" w:rsidRPr="00A833B3" w:rsidRDefault="00A16FD8" w:rsidP="00A16F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stood accused of specific acts of environmental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irresponsibility. These included operational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oil spills, gas flaring, acid rain, land use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and waste management. The company acknowledges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that there were environmental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impacts but sought to put these into a wider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A16FD8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context of over-population, over-farming, deforestation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and industrialization.</w:t>
            </w:r>
          </w:p>
          <w:p w14:paraId="5C16FCC1" w14:textId="77777777" w:rsidR="00A16FD8" w:rsidRPr="00A833B3" w:rsidRDefault="00A16FD8" w:rsidP="00A16F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7B8AB792" w14:textId="2C5DC2CB" w:rsidR="00A16FD8" w:rsidRPr="00A833B3" w:rsidRDefault="00510BD6" w:rsidP="00510B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510BD6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Ogoni pointed to out-dated equipment,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510BD6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which was poorly maintained over the years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and which led to numerous spills.</w:t>
            </w:r>
          </w:p>
          <w:p w14:paraId="31CE30B8" w14:textId="77777777" w:rsidR="00510BD6" w:rsidRPr="00A833B3" w:rsidRDefault="00510BD6" w:rsidP="00510B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190A6719" w14:textId="1B556299" w:rsidR="00510BD6" w:rsidRPr="00A833B3" w:rsidRDefault="00510BD6" w:rsidP="00510B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510BD6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state violence against the Ogoni climaxed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510BD6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when 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Ogoni Rights Activist </w:t>
            </w:r>
            <w:r w:rsidRPr="00510BD6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Ken Saro-Wiwa and eight other Ogoni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510BD6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activists were arrested and eventually convicted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510BD6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of the murders of four conservative,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510BD6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pro-government chiefs, and sentenced to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death in an allegedly sham trial by judiciary which worked as per the military government influence. It received widespread international condemnation against the Nigerian Government.</w:t>
            </w:r>
            <w:r w:rsidR="003665D6"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  <w:p w14:paraId="5EC33AB0" w14:textId="77777777" w:rsidR="003665D6" w:rsidRPr="00A833B3" w:rsidRDefault="003665D6" w:rsidP="00510B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632A3B04" w14:textId="77777777" w:rsidR="003665D6" w:rsidRPr="00A833B3" w:rsidRDefault="003665D6" w:rsidP="00510B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6A16BA81" w14:textId="53627529" w:rsidR="003665D6" w:rsidRPr="00A833B3" w:rsidRDefault="00A54C10" w:rsidP="009134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54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Analyse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to</w:t>
            </w:r>
            <w:r w:rsidR="003665D6"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what extent you hold the company management of Shell or its Board responsible for the problems explained here? Justify.</w:t>
            </w:r>
          </w:p>
          <w:p w14:paraId="00C34014" w14:textId="77777777" w:rsidR="003665D6" w:rsidRPr="00A833B3" w:rsidRDefault="003665D6" w:rsidP="00510B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63307F4B" w14:textId="62914B4E" w:rsidR="003665D6" w:rsidRPr="00A833B3" w:rsidRDefault="003665D6" w:rsidP="009134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Did the local tribes attempt taking an undue advantage from a foreign firm trying to constantly exploit with a series of socio-economic favours from Shell, which it clarified that it is not able to honour those demands and national government is expected to solve them? </w:t>
            </w:r>
          </w:p>
          <w:p w14:paraId="34EF74E4" w14:textId="77777777" w:rsidR="003665D6" w:rsidRPr="00A833B3" w:rsidRDefault="003665D6" w:rsidP="00510B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6A711FB2" w14:textId="77777777" w:rsidR="00913400" w:rsidRPr="00A833B3" w:rsidRDefault="00763E39" w:rsidP="009134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Do MNCs </w:t>
            </w:r>
            <w:r w:rsidR="00913400"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thoroughly 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research </w:t>
            </w:r>
            <w:r w:rsidR="00913400"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cultural</w:t>
            </w:r>
            <w:r w:rsidR="00913400"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and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social</w:t>
            </w:r>
            <w:r w:rsidR="00913400"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factors before venturing into lucrative destinations before making investments and long-term commitments? Who indemnifies the losses arising on account of such issues (like in Nigeria) to the shareholders of the large MNCs? </w:t>
            </w:r>
          </w:p>
          <w:p w14:paraId="10D9DBA4" w14:textId="77777777" w:rsidR="00913400" w:rsidRPr="00A833B3" w:rsidRDefault="00913400" w:rsidP="00913400">
            <w:pPr>
              <w:pStyle w:val="ListParagraph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0786B37E" w14:textId="0934FCD2" w:rsidR="003665D6" w:rsidRPr="00A833B3" w:rsidRDefault="00913400" w:rsidP="009134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Does appear preliminarily if Shell had fully understood about the Ogoni people before getting into Nigeria </w:t>
            </w:r>
            <w:r w:rsidR="006243FF"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in the late 1930s </w:t>
            </w:r>
            <w:r w:rsidRPr="00A833B3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for a longer business operations spanning many generations? </w:t>
            </w:r>
          </w:p>
          <w:p w14:paraId="24160AF7" w14:textId="77777777" w:rsidR="003665D6" w:rsidRPr="00A833B3" w:rsidRDefault="003665D6" w:rsidP="00510B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71A16E05" w14:textId="77777777" w:rsidR="003665D6" w:rsidRPr="00A833B3" w:rsidRDefault="003665D6" w:rsidP="00510B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</w:p>
          <w:p w14:paraId="78F8DD8B" w14:textId="77777777" w:rsidR="003665D6" w:rsidRPr="005C72E0" w:rsidRDefault="003665D6" w:rsidP="006243F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/>
              </w:rPr>
            </w:pPr>
            <w:r w:rsidRPr="005C72E0">
              <w:rPr>
                <w:rFonts w:ascii="Times New Roman" w:eastAsia="Times New Roman" w:hAnsi="Times New Roman" w:cs="Times New Roman"/>
                <w:sz w:val="18"/>
                <w:szCs w:val="18"/>
                <w:lang w:val="en-IN"/>
              </w:rPr>
              <w:t>Adopted from: Richard Boele1,, Heike Fabig and David Wheeler (2001)</w:t>
            </w:r>
          </w:p>
          <w:p w14:paraId="409CD132" w14:textId="109A87BA" w:rsidR="00A16FD8" w:rsidRPr="005C72E0" w:rsidRDefault="003665D6" w:rsidP="00B607C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IN"/>
              </w:rPr>
            </w:pPr>
            <w:r w:rsidRPr="005C72E0">
              <w:rPr>
                <w:rFonts w:ascii="Times New Roman" w:eastAsia="Times New Roman" w:hAnsi="Times New Roman" w:cs="Times New Roman"/>
                <w:sz w:val="18"/>
                <w:szCs w:val="18"/>
                <w:lang w:val="en-IN"/>
              </w:rPr>
              <w:t xml:space="preserve">Shell, Nigeria and The Ogoni. A Study In Unsustainable Development, </w:t>
            </w:r>
            <w:r w:rsidRPr="005C72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IN"/>
              </w:rPr>
              <w:t>Sustainable Development, John Wiley &amp; Sons, Ltd and ERP Environment, Vol. 9,  pp 4–86</w:t>
            </w:r>
            <w:r w:rsidR="006243FF" w:rsidRPr="005C72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IN"/>
              </w:rPr>
              <w:t xml:space="preserve">. </w:t>
            </w:r>
          </w:p>
          <w:p w14:paraId="3259D9FF" w14:textId="637508F6" w:rsidR="00A16FD8" w:rsidRPr="00A833B3" w:rsidRDefault="00A16FD8" w:rsidP="00B607C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0CCDCD" w14:textId="320DFB7F" w:rsidR="002E7700" w:rsidRPr="00A833B3" w:rsidRDefault="003665D6" w:rsidP="009567D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3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</w:tr>
    </w:tbl>
    <w:p w14:paraId="1225DC1B" w14:textId="77777777" w:rsidR="00B04BA2" w:rsidRPr="00A833B3" w:rsidRDefault="00B04BA2" w:rsidP="00032A11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04BA2" w:rsidRPr="00A833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CE293" w14:textId="77777777" w:rsidR="003E2995" w:rsidRDefault="003E2995" w:rsidP="0013695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4A96C3F" w14:textId="77777777" w:rsidR="003E2995" w:rsidRDefault="003E2995" w:rsidP="0013695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2F549" w14:textId="77777777" w:rsidR="0013695B" w:rsidRDefault="0013695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DB30F" w14:textId="77777777" w:rsidR="0013695B" w:rsidRDefault="0013695B" w:rsidP="0013695B">
    <w:pPr>
      <w:pStyle w:val="Footer"/>
      <w:ind w:left="0" w:hanging="2"/>
      <w:jc w:val="right"/>
      <w:rPr>
        <w:color w:val="4F81BD" w:themeColor="accent1"/>
      </w:rPr>
    </w:pPr>
    <w:r>
      <w:rPr>
        <w:color w:val="4F81BD" w:themeColor="accent1"/>
        <w:lang w:val="en-GB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en-GB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  <w:lang w:val="en-GB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en-GB"/>
      </w:rPr>
      <w:t>2</w:t>
    </w:r>
    <w:r>
      <w:rPr>
        <w:color w:val="4F81BD" w:themeColor="accent1"/>
      </w:rPr>
      <w:fldChar w:fldCharType="end"/>
    </w:r>
  </w:p>
  <w:p w14:paraId="0C724DAF" w14:textId="77777777" w:rsidR="0013695B" w:rsidRDefault="0013695B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8E031" w14:textId="77777777" w:rsidR="0013695B" w:rsidRDefault="0013695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32D83" w14:textId="77777777" w:rsidR="003E2995" w:rsidRDefault="003E2995" w:rsidP="0013695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9AB38E0" w14:textId="77777777" w:rsidR="003E2995" w:rsidRDefault="003E2995" w:rsidP="0013695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3AAC5" w14:textId="77777777" w:rsidR="0013695B" w:rsidRDefault="0013695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5D88E" w14:textId="77777777" w:rsidR="0013695B" w:rsidRDefault="0013695B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B27DD" w14:textId="77777777" w:rsidR="0013695B" w:rsidRDefault="0013695B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478B8"/>
    <w:multiLevelType w:val="hybridMultilevel"/>
    <w:tmpl w:val="D8B65C22"/>
    <w:lvl w:ilvl="0" w:tplc="97960008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2D2A5C35"/>
    <w:multiLevelType w:val="hybridMultilevel"/>
    <w:tmpl w:val="55B46CC0"/>
    <w:lvl w:ilvl="0" w:tplc="4009001B">
      <w:start w:val="1"/>
      <w:numFmt w:val="lowerRoman"/>
      <w:lvlText w:val="%1."/>
      <w:lvlJc w:val="right"/>
      <w:pPr>
        <w:ind w:left="718" w:hanging="360"/>
      </w:p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479E4C63"/>
    <w:multiLevelType w:val="hybridMultilevel"/>
    <w:tmpl w:val="98F8F5BE"/>
    <w:lvl w:ilvl="0" w:tplc="97960008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20354080">
    <w:abstractNumId w:val="2"/>
  </w:num>
  <w:num w:numId="2" w16cid:durableId="194001727">
    <w:abstractNumId w:val="0"/>
  </w:num>
  <w:num w:numId="3" w16cid:durableId="1079912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10BBD"/>
    <w:rsid w:val="000233CC"/>
    <w:rsid w:val="00032A11"/>
    <w:rsid w:val="0003731C"/>
    <w:rsid w:val="00092180"/>
    <w:rsid w:val="000E5D6E"/>
    <w:rsid w:val="000F0F81"/>
    <w:rsid w:val="0013695B"/>
    <w:rsid w:val="00143D7F"/>
    <w:rsid w:val="00161B16"/>
    <w:rsid w:val="001B2F52"/>
    <w:rsid w:val="001E231E"/>
    <w:rsid w:val="0020581E"/>
    <w:rsid w:val="0021515C"/>
    <w:rsid w:val="00244127"/>
    <w:rsid w:val="00245B24"/>
    <w:rsid w:val="00290F23"/>
    <w:rsid w:val="002E7700"/>
    <w:rsid w:val="003046C4"/>
    <w:rsid w:val="003665D6"/>
    <w:rsid w:val="003E2995"/>
    <w:rsid w:val="003F3AE5"/>
    <w:rsid w:val="00402B5F"/>
    <w:rsid w:val="00412791"/>
    <w:rsid w:val="004B4261"/>
    <w:rsid w:val="00510BD6"/>
    <w:rsid w:val="005302A2"/>
    <w:rsid w:val="00541040"/>
    <w:rsid w:val="00544DF6"/>
    <w:rsid w:val="00550DA9"/>
    <w:rsid w:val="00582889"/>
    <w:rsid w:val="005C72E0"/>
    <w:rsid w:val="005D4570"/>
    <w:rsid w:val="005D5495"/>
    <w:rsid w:val="006243FF"/>
    <w:rsid w:val="006813F8"/>
    <w:rsid w:val="006951F4"/>
    <w:rsid w:val="006A10B7"/>
    <w:rsid w:val="00703B10"/>
    <w:rsid w:val="007207CB"/>
    <w:rsid w:val="007329AF"/>
    <w:rsid w:val="00752198"/>
    <w:rsid w:val="00763E39"/>
    <w:rsid w:val="00771F90"/>
    <w:rsid w:val="00816361"/>
    <w:rsid w:val="008E36F9"/>
    <w:rsid w:val="008F6A8C"/>
    <w:rsid w:val="00913400"/>
    <w:rsid w:val="00934539"/>
    <w:rsid w:val="009406FE"/>
    <w:rsid w:val="009567DB"/>
    <w:rsid w:val="0097554A"/>
    <w:rsid w:val="009C7923"/>
    <w:rsid w:val="009D6624"/>
    <w:rsid w:val="009E75D0"/>
    <w:rsid w:val="00A126DE"/>
    <w:rsid w:val="00A16FD8"/>
    <w:rsid w:val="00A54C10"/>
    <w:rsid w:val="00A833B3"/>
    <w:rsid w:val="00A83C67"/>
    <w:rsid w:val="00AA1BE3"/>
    <w:rsid w:val="00AA4A24"/>
    <w:rsid w:val="00AB6A83"/>
    <w:rsid w:val="00AE15F8"/>
    <w:rsid w:val="00AE4C08"/>
    <w:rsid w:val="00B04BA2"/>
    <w:rsid w:val="00B463DF"/>
    <w:rsid w:val="00B46F5D"/>
    <w:rsid w:val="00B607C8"/>
    <w:rsid w:val="00BB0CBD"/>
    <w:rsid w:val="00BC47F7"/>
    <w:rsid w:val="00C143B6"/>
    <w:rsid w:val="00C2026D"/>
    <w:rsid w:val="00C26EF1"/>
    <w:rsid w:val="00CA2927"/>
    <w:rsid w:val="00CD4D60"/>
    <w:rsid w:val="00D63864"/>
    <w:rsid w:val="00D71B8F"/>
    <w:rsid w:val="00DB54EA"/>
    <w:rsid w:val="00DC3A08"/>
    <w:rsid w:val="00DE6AA2"/>
    <w:rsid w:val="00E36155"/>
    <w:rsid w:val="00F65D46"/>
    <w:rsid w:val="00F91C83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customStyle="1" w:styleId="storypara0">
    <w:name w:val="story_para_0"/>
    <w:basedOn w:val="Normal"/>
    <w:rsid w:val="00AE4C0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N" w:eastAsia="zh-CN" w:bidi="th-TH"/>
    </w:rPr>
  </w:style>
  <w:style w:type="paragraph" w:customStyle="1" w:styleId="storypara1">
    <w:name w:val="story_para_1"/>
    <w:basedOn w:val="Normal"/>
    <w:rsid w:val="00AE4C0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N" w:eastAsia="zh-CN" w:bidi="th-TH"/>
    </w:rPr>
  </w:style>
  <w:style w:type="paragraph" w:customStyle="1" w:styleId="storypara2">
    <w:name w:val="story_para_2"/>
    <w:basedOn w:val="Normal"/>
    <w:rsid w:val="003F3AE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N" w:eastAsia="zh-CN" w:bidi="th-TH"/>
    </w:rPr>
  </w:style>
  <w:style w:type="paragraph" w:customStyle="1" w:styleId="storypara3">
    <w:name w:val="story_para_3"/>
    <w:basedOn w:val="Normal"/>
    <w:rsid w:val="003F3AE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N" w:eastAsia="zh-CN" w:bidi="th-TH"/>
    </w:rPr>
  </w:style>
  <w:style w:type="paragraph" w:customStyle="1" w:styleId="storypara4">
    <w:name w:val="story_para_4"/>
    <w:basedOn w:val="Normal"/>
    <w:rsid w:val="00DB54E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N" w:eastAsia="zh-CN" w:bidi="th-TH"/>
    </w:rPr>
  </w:style>
  <w:style w:type="paragraph" w:customStyle="1" w:styleId="storypara5">
    <w:name w:val="story_para_5"/>
    <w:basedOn w:val="Normal"/>
    <w:rsid w:val="00DB54E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N" w:eastAsia="zh-CN" w:bidi="th-TH"/>
    </w:rPr>
  </w:style>
  <w:style w:type="paragraph" w:customStyle="1" w:styleId="storypara6">
    <w:name w:val="story_para_6"/>
    <w:basedOn w:val="Normal"/>
    <w:rsid w:val="00DB54E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N" w:eastAsia="zh-CN" w:bidi="th-TH"/>
    </w:rPr>
  </w:style>
  <w:style w:type="paragraph" w:customStyle="1" w:styleId="storypara7">
    <w:name w:val="story_para_7"/>
    <w:basedOn w:val="Normal"/>
    <w:rsid w:val="00DB54E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N" w:eastAsia="zh-CN" w:bidi="th-TH"/>
    </w:rPr>
  </w:style>
  <w:style w:type="character" w:styleId="Hyperlink">
    <w:name w:val="Hyperlink"/>
    <w:basedOn w:val="DefaultParagraphFont"/>
    <w:uiPriority w:val="99"/>
    <w:unhideWhenUsed/>
    <w:rsid w:val="00032A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A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1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95B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6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95B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Swapnil Mangale</cp:lastModifiedBy>
  <cp:revision>7</cp:revision>
  <dcterms:created xsi:type="dcterms:W3CDTF">2025-10-09T13:36:00Z</dcterms:created>
  <dcterms:modified xsi:type="dcterms:W3CDTF">2025-10-10T10:20:00Z</dcterms:modified>
</cp:coreProperties>
</file>