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8F091" w14:textId="77777777" w:rsidR="00AF53C0" w:rsidRDefault="00AF53C0" w:rsidP="00AF53C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6723D0B9" wp14:editId="640B4151">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5"/>
                    <a:srcRect/>
                    <a:stretch>
                      <a:fillRect/>
                    </a:stretch>
                  </pic:blipFill>
                  <pic:spPr>
                    <a:xfrm>
                      <a:off x="0" y="0"/>
                      <a:ext cx="1374775" cy="565785"/>
                    </a:xfrm>
                    <a:prstGeom prst="rect">
                      <a:avLst/>
                    </a:prstGeom>
                    <a:ln/>
                  </pic:spPr>
                </pic:pic>
              </a:graphicData>
            </a:graphic>
          </wp:inline>
        </w:drawing>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AF53C0" w14:paraId="3A88AF6F" w14:textId="77777777" w:rsidTr="00516E40">
        <w:trPr>
          <w:trHeight w:val="330"/>
          <w:jc w:val="center"/>
        </w:trPr>
        <w:tc>
          <w:tcPr>
            <w:tcW w:w="10343" w:type="dxa"/>
            <w:gridSpan w:val="3"/>
          </w:tcPr>
          <w:p w14:paraId="2C21C125" w14:textId="77777777" w:rsidR="00AF53C0" w:rsidRDefault="00AF53C0" w:rsidP="00516E4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 Sep-2024</w:t>
            </w:r>
          </w:p>
          <w:p w14:paraId="25FB7372" w14:textId="7F5E72D1" w:rsidR="00AF53C0" w:rsidRDefault="00AF53C0" w:rsidP="00516E4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Maximum Marks:    12          Examination: End Exam              Date:                       Duration: 45 min</w:t>
            </w:r>
          </w:p>
        </w:tc>
      </w:tr>
      <w:tr w:rsidR="00AF53C0" w14:paraId="3252B7BD" w14:textId="77777777" w:rsidTr="00516E40">
        <w:trPr>
          <w:trHeight w:val="330"/>
          <w:jc w:val="center"/>
        </w:trPr>
        <w:tc>
          <w:tcPr>
            <w:tcW w:w="5382" w:type="dxa"/>
          </w:tcPr>
          <w:p w14:paraId="28BF190E" w14:textId="7C536F41" w:rsidR="00AF53C0" w:rsidRDefault="00AF53C0" w:rsidP="00516E40">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Programme</w:t>
            </w:r>
            <w:proofErr w:type="spellEnd"/>
            <w:r>
              <w:rPr>
                <w:rFonts w:ascii="Times New Roman" w:eastAsia="Times New Roman" w:hAnsi="Times New Roman" w:cs="Times New Roman"/>
                <w:b/>
                <w:sz w:val="24"/>
                <w:szCs w:val="24"/>
              </w:rPr>
              <w:t xml:space="preserve"> code:</w:t>
            </w:r>
            <w:r w:rsidR="00D27B1D">
              <w:rPr>
                <w:rFonts w:ascii="Times New Roman" w:eastAsia="Times New Roman" w:hAnsi="Times New Roman" w:cs="Times New Roman"/>
                <w:b/>
                <w:sz w:val="24"/>
                <w:szCs w:val="24"/>
              </w:rPr>
              <w:t>17</w:t>
            </w:r>
          </w:p>
          <w:p w14:paraId="60AE106B" w14:textId="13FCAF01" w:rsidR="00AF53C0" w:rsidRDefault="00AF53C0" w:rsidP="00516E40">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Programme</w:t>
            </w:r>
            <w:proofErr w:type="spellEnd"/>
            <w:r>
              <w:rPr>
                <w:rFonts w:ascii="Times New Roman" w:eastAsia="Times New Roman" w:hAnsi="Times New Roman" w:cs="Times New Roman"/>
                <w:b/>
                <w:sz w:val="24"/>
                <w:szCs w:val="24"/>
              </w:rPr>
              <w:t xml:space="preserve">: </w:t>
            </w:r>
            <w:r w:rsidR="00D27B1D" w:rsidRPr="00AE2B9C">
              <w:rPr>
                <w:rFonts w:ascii="Times New Roman" w:eastAsia="Times New Roman" w:hAnsi="Times New Roman" w:cs="Times New Roman"/>
                <w:b/>
                <w:bCs/>
                <w:sz w:val="24"/>
                <w:szCs w:val="24"/>
              </w:rPr>
              <w:t>PGDM-Executive (G&amp;B)</w:t>
            </w:r>
          </w:p>
        </w:tc>
        <w:tc>
          <w:tcPr>
            <w:tcW w:w="1761" w:type="dxa"/>
          </w:tcPr>
          <w:p w14:paraId="10B8B230" w14:textId="77777777" w:rsidR="00AF53C0" w:rsidRDefault="00AF53C0" w:rsidP="00516E4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Pr>
                <w:rFonts w:ascii="Times New Roman" w:eastAsia="Times New Roman" w:hAnsi="Times New Roman" w:cs="Times New Roman"/>
                <w:sz w:val="24"/>
                <w:szCs w:val="24"/>
              </w:rPr>
              <w:t>FY</w:t>
            </w:r>
          </w:p>
        </w:tc>
        <w:tc>
          <w:tcPr>
            <w:tcW w:w="3200" w:type="dxa"/>
          </w:tcPr>
          <w:p w14:paraId="1898A2B2" w14:textId="77777777" w:rsidR="00AF53C0" w:rsidRDefault="00AF53C0" w:rsidP="00516E4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Semester: IV</w:t>
            </w:r>
          </w:p>
          <w:p w14:paraId="32A6568A" w14:textId="77777777" w:rsidR="00AF53C0" w:rsidRDefault="00AF53C0" w:rsidP="00516E4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Batch-1</w:t>
            </w:r>
          </w:p>
        </w:tc>
      </w:tr>
      <w:tr w:rsidR="00AF53C0" w14:paraId="2BCF45E0" w14:textId="77777777" w:rsidTr="00516E40">
        <w:trPr>
          <w:jc w:val="center"/>
        </w:trPr>
        <w:tc>
          <w:tcPr>
            <w:tcW w:w="5382" w:type="dxa"/>
          </w:tcPr>
          <w:p w14:paraId="2A5F8BB4" w14:textId="77777777" w:rsidR="00AF53C0" w:rsidRDefault="00AF53C0" w:rsidP="00516E4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Pr="00DE365E">
              <w:rPr>
                <w:rFonts w:ascii="Times New Roman" w:eastAsia="Times New Roman" w:hAnsi="Times New Roman" w:cs="Times New Roman"/>
                <w:b/>
                <w:bCs/>
                <w:sz w:val="24"/>
                <w:szCs w:val="24"/>
              </w:rPr>
              <w:t>K. J. Somaiya Institute of Management</w:t>
            </w:r>
          </w:p>
        </w:tc>
        <w:tc>
          <w:tcPr>
            <w:tcW w:w="4961" w:type="dxa"/>
            <w:gridSpan w:val="2"/>
          </w:tcPr>
          <w:p w14:paraId="2E7F3B27" w14:textId="77777777" w:rsidR="00AF53C0" w:rsidRDefault="00AF53C0" w:rsidP="00516E4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Name of the department/Section/Center: General Management</w:t>
            </w:r>
          </w:p>
          <w:p w14:paraId="620D1AF0" w14:textId="77777777" w:rsidR="00AF53C0" w:rsidRDefault="00AF53C0" w:rsidP="00516E40">
            <w:pPr>
              <w:spacing w:after="0" w:line="240" w:lineRule="auto"/>
              <w:ind w:leftChars="0" w:left="0" w:firstLineChars="0" w:firstLine="0"/>
              <w:rPr>
                <w:rFonts w:ascii="Times New Roman" w:eastAsia="Times New Roman" w:hAnsi="Times New Roman" w:cs="Times New Roman"/>
                <w:sz w:val="24"/>
                <w:szCs w:val="24"/>
              </w:rPr>
            </w:pPr>
          </w:p>
        </w:tc>
      </w:tr>
      <w:tr w:rsidR="00AF53C0" w14:paraId="2DAFEA72" w14:textId="77777777" w:rsidTr="00516E40">
        <w:trPr>
          <w:jc w:val="center"/>
        </w:trPr>
        <w:tc>
          <w:tcPr>
            <w:tcW w:w="5382" w:type="dxa"/>
          </w:tcPr>
          <w:p w14:paraId="49B8704D" w14:textId="1357B147" w:rsidR="00AF53C0" w:rsidRDefault="00AF53C0" w:rsidP="00516E4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D27B1D" w:rsidRPr="004078CA">
              <w:rPr>
                <w:rFonts w:ascii="Times New Roman" w:eastAsia="Times New Roman" w:hAnsi="Times New Roman" w:cs="Times New Roman"/>
                <w:b/>
                <w:sz w:val="24"/>
                <w:szCs w:val="24"/>
              </w:rPr>
              <w:t>117I17C401</w:t>
            </w:r>
            <w:r w:rsidR="00D27B1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tc>
        <w:tc>
          <w:tcPr>
            <w:tcW w:w="4961" w:type="dxa"/>
            <w:gridSpan w:val="2"/>
          </w:tcPr>
          <w:p w14:paraId="43B91037" w14:textId="5464954B" w:rsidR="00AF53C0" w:rsidRDefault="00AF53C0" w:rsidP="00516E4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Name of the Course:   ESG – Section B</w:t>
            </w:r>
          </w:p>
        </w:tc>
      </w:tr>
      <w:tr w:rsidR="00AF53C0" w14:paraId="2A4B9129" w14:textId="77777777" w:rsidTr="00516E40">
        <w:trPr>
          <w:jc w:val="center"/>
        </w:trPr>
        <w:tc>
          <w:tcPr>
            <w:tcW w:w="10343" w:type="dxa"/>
            <w:gridSpan w:val="3"/>
          </w:tcPr>
          <w:p w14:paraId="50C1D06F" w14:textId="77777777" w:rsidR="00AF53C0" w:rsidRDefault="00AF53C0" w:rsidP="00516E4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p>
          <w:p w14:paraId="366614EE" w14:textId="77777777" w:rsidR="00AF53C0" w:rsidRDefault="00AF53C0" w:rsidP="00AF53C0">
            <w:pPr>
              <w:pStyle w:val="ListParagraph"/>
              <w:numPr>
                <w:ilvl w:val="0"/>
                <w:numId w:val="2"/>
              </w:numPr>
              <w:spacing w:after="0" w:line="240" w:lineRule="auto"/>
              <w:ind w:left="0" w:hanging="2"/>
              <w:rPr>
                <w:rFonts w:ascii="Times New Roman" w:eastAsia="Times New Roman" w:hAnsi="Times New Roman" w:cs="Times New Roman"/>
                <w:b/>
                <w:sz w:val="24"/>
                <w:szCs w:val="24"/>
              </w:rPr>
            </w:pPr>
            <w:r w:rsidRPr="00E816D5">
              <w:rPr>
                <w:rFonts w:ascii="Times New Roman" w:eastAsia="Times New Roman" w:hAnsi="Times New Roman" w:cs="Times New Roman"/>
                <w:b/>
                <w:sz w:val="24"/>
                <w:szCs w:val="24"/>
              </w:rPr>
              <w:t>Attempt all the questions</w:t>
            </w:r>
          </w:p>
          <w:p w14:paraId="2E73810F" w14:textId="34804758" w:rsidR="00AF53C0" w:rsidRPr="00AF53C0" w:rsidRDefault="00AF53C0" w:rsidP="00516E40">
            <w:pPr>
              <w:pStyle w:val="ListParagraph"/>
              <w:numPr>
                <w:ilvl w:val="0"/>
                <w:numId w:val="2"/>
              </w:num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Write briefly and to the point</w:t>
            </w:r>
          </w:p>
          <w:p w14:paraId="202AF025" w14:textId="77777777" w:rsidR="00AF53C0" w:rsidRDefault="00AF53C0" w:rsidP="00516E40">
            <w:pPr>
              <w:spacing w:after="0" w:line="240" w:lineRule="auto"/>
              <w:ind w:leftChars="0" w:left="0" w:firstLineChars="0" w:firstLine="0"/>
              <w:rPr>
                <w:rFonts w:ascii="Times New Roman" w:eastAsia="Times New Roman" w:hAnsi="Times New Roman" w:cs="Times New Roman"/>
                <w:sz w:val="24"/>
                <w:szCs w:val="24"/>
              </w:rPr>
            </w:pPr>
          </w:p>
        </w:tc>
      </w:tr>
    </w:tbl>
    <w:p w14:paraId="300CA3F1" w14:textId="77777777" w:rsidR="00AF53C0" w:rsidRDefault="00AF53C0" w:rsidP="00AF53C0">
      <w:pPr>
        <w:spacing w:after="0" w:line="240" w:lineRule="auto"/>
        <w:ind w:left="0" w:hanging="2"/>
        <w:rPr>
          <w:rFonts w:ascii="Times New Roman" w:eastAsia="Times New Roman" w:hAnsi="Times New Roman" w:cs="Times New Roman"/>
          <w:sz w:val="24"/>
          <w:szCs w:val="24"/>
        </w:rPr>
      </w:pPr>
    </w:p>
    <w:tbl>
      <w:tblPr>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8334"/>
        <w:gridCol w:w="992"/>
      </w:tblGrid>
      <w:tr w:rsidR="00AF53C0" w:rsidRPr="00934539" w14:paraId="21BB1D8C" w14:textId="77777777" w:rsidTr="00516E40">
        <w:trPr>
          <w:trHeight w:val="1140"/>
        </w:trPr>
        <w:tc>
          <w:tcPr>
            <w:tcW w:w="1135" w:type="dxa"/>
          </w:tcPr>
          <w:p w14:paraId="6FFA2A6A" w14:textId="77777777" w:rsidR="00AF53C0" w:rsidRPr="00934539" w:rsidRDefault="00AF53C0" w:rsidP="00516E4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334" w:type="dxa"/>
          </w:tcPr>
          <w:p w14:paraId="6B3A2ADA" w14:textId="77777777" w:rsidR="00AF53C0" w:rsidRPr="00934539" w:rsidRDefault="00AF53C0" w:rsidP="00516E40">
            <w:pPr>
              <w:spacing w:after="0" w:line="240" w:lineRule="auto"/>
              <w:ind w:left="0" w:hanging="2"/>
              <w:jc w:val="center"/>
              <w:rPr>
                <w:rFonts w:ascii="Times New Roman" w:eastAsia="Times New Roman" w:hAnsi="Times New Roman" w:cs="Times New Roman"/>
                <w:sz w:val="24"/>
                <w:szCs w:val="24"/>
              </w:rPr>
            </w:pPr>
          </w:p>
        </w:tc>
        <w:tc>
          <w:tcPr>
            <w:tcW w:w="992" w:type="dxa"/>
          </w:tcPr>
          <w:p w14:paraId="318AE143" w14:textId="77777777" w:rsidR="00AF53C0" w:rsidRPr="00934539" w:rsidRDefault="00AF53C0" w:rsidP="00516E4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37F088C1" w14:textId="77777777" w:rsidR="00AF53C0" w:rsidRPr="00934539" w:rsidRDefault="00AF53C0" w:rsidP="00516E4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AF53C0" w:rsidRPr="00934539" w14:paraId="6FE3B615" w14:textId="77777777" w:rsidTr="00516E40">
        <w:trPr>
          <w:trHeight w:val="1140"/>
        </w:trPr>
        <w:tc>
          <w:tcPr>
            <w:tcW w:w="1135" w:type="dxa"/>
          </w:tcPr>
          <w:p w14:paraId="5FBD4DC8" w14:textId="77777777" w:rsidR="00AF53C0" w:rsidRPr="00934539" w:rsidRDefault="00AF53C0" w:rsidP="00516E40">
            <w:pPr>
              <w:spacing w:after="0" w:line="240" w:lineRule="auto"/>
              <w:ind w:left="0" w:hanging="2"/>
              <w:jc w:val="center"/>
              <w:rPr>
                <w:rFonts w:ascii="Times New Roman" w:eastAsia="Times New Roman" w:hAnsi="Times New Roman" w:cs="Times New Roman"/>
                <w:b/>
                <w:sz w:val="24"/>
                <w:szCs w:val="24"/>
              </w:rPr>
            </w:pPr>
          </w:p>
        </w:tc>
        <w:tc>
          <w:tcPr>
            <w:tcW w:w="8334" w:type="dxa"/>
          </w:tcPr>
          <w:p w14:paraId="6D3B45F6" w14:textId="506DB8A2" w:rsidR="00AF53C0" w:rsidRDefault="00AF53C0" w:rsidP="00AF53C0">
            <w:pPr>
              <w:ind w:left="0" w:hanging="2"/>
              <w:rPr>
                <w:b/>
                <w:bCs/>
              </w:rPr>
            </w:pPr>
            <w:r>
              <w:rPr>
                <w:b/>
                <w:bCs/>
              </w:rPr>
              <w:t>Case Study – ESG Performance of Welspun Group</w:t>
            </w:r>
          </w:p>
          <w:p w14:paraId="64E87252" w14:textId="1554B1F2" w:rsidR="00AF53C0" w:rsidRDefault="00AF53C0" w:rsidP="00AF53C0">
            <w:pPr>
              <w:ind w:left="0" w:hanging="2"/>
              <w:rPr>
                <w:b/>
                <w:bCs/>
              </w:rPr>
            </w:pPr>
            <w:r w:rsidRPr="00AF53C0">
              <w:rPr>
                <w:b/>
                <w:bCs/>
              </w:rPr>
              <w:t>Answer the questions based on ESG report discussed in the class and following information</w:t>
            </w:r>
          </w:p>
          <w:p w14:paraId="3BC7DAC9" w14:textId="56955420" w:rsidR="00AF53C0" w:rsidRDefault="00AF53C0" w:rsidP="00AF53C0">
            <w:pPr>
              <w:ind w:left="-2" w:firstLineChars="0" w:firstLine="0"/>
              <w:jc w:val="both"/>
            </w:pPr>
            <w:r w:rsidRPr="004F40E6">
              <w:t>Environmental, Social, and Governance (ESG)</w:t>
            </w:r>
            <w:r w:rsidRPr="009E79DA">
              <w:t xml:space="preserve"> is essentially an approach incorporating </w:t>
            </w:r>
            <w:r w:rsidR="00D722A0">
              <w:t>ESG</w:t>
            </w:r>
            <w:r w:rsidRPr="009E79DA">
              <w:t xml:space="preserve"> elements in the business process to create a balanced and Sustainable business organization. The approach not only delivers competitive business advantage but also ensures consistent and stable business performance meeting the current &amp; future global expectations. By developing a business model that addresses ESG factors, one is better positioned to future-proof business with operations, cultural and financial changes in the process.</w:t>
            </w:r>
            <w:r>
              <w:t xml:space="preserve"> </w:t>
            </w:r>
            <w:r w:rsidRPr="009E79DA">
              <w:t>Another dimension that is driving enormous interest in ESG performance is Financial, as it’s playing a larger role in companies’ decisions around M&amp;A and divestment.</w:t>
            </w:r>
          </w:p>
          <w:p w14:paraId="7D211A39" w14:textId="77777777" w:rsidR="00AF53C0" w:rsidRPr="004F40E6" w:rsidRDefault="00AF53C0" w:rsidP="00AF53C0">
            <w:pPr>
              <w:ind w:left="0" w:hanging="2"/>
              <w:jc w:val="both"/>
            </w:pPr>
            <w:r w:rsidRPr="004F40E6">
              <w:t xml:space="preserve">Welspun Group, a prominent player in the global textile and pipe manufacturing industry, has </w:t>
            </w:r>
            <w:r>
              <w:t>state-of-the-art manufacturing facilities, in India, USA and Saudi Arabia offering expertise to most of the fortune 100 companies in the world</w:t>
            </w:r>
            <w:r w:rsidRPr="004F40E6">
              <w:t xml:space="preserve">. The company has made significant strides in its </w:t>
            </w:r>
            <w:r>
              <w:t>ESG</w:t>
            </w:r>
            <w:r w:rsidRPr="004F40E6">
              <w:t xml:space="preserve"> performance </w:t>
            </w:r>
            <w:r>
              <w:t xml:space="preserve">and </w:t>
            </w:r>
            <w:r w:rsidRPr="004F40E6">
              <w:t>sought to integrate sustainability deeply into its core operations, aiming to enhance its ESG ratings and reflect a commitment to global standards.</w:t>
            </w:r>
            <w:r w:rsidRPr="00E51509">
              <w:t xml:space="preserve"> </w:t>
            </w:r>
            <w:r w:rsidRPr="00B9257C">
              <w:t>Welspun Living</w:t>
            </w:r>
            <w:r>
              <w:t xml:space="preserve"> Ltd (WLL) is the world’s second largest home textile manufacturer and supplier to 18 of the to 30 global retail giants,</w:t>
            </w:r>
            <w:r w:rsidRPr="00B9257C">
              <w:t xml:space="preserve"> making sustained efforts through positive action to restore ecological balance in the domains of Air, Water and Land. “Restoring Ecosystems” is the goal of all ESG efforts of the Welspun team.</w:t>
            </w:r>
            <w:r>
              <w:t xml:space="preserve"> </w:t>
            </w:r>
            <w:r w:rsidRPr="004F40E6">
              <w:t>By adopting advanced sustainable practices, Welspun not only mitigates its own environmental impact but also influences industry standards and practices.</w:t>
            </w:r>
            <w:r>
              <w:t xml:space="preserve"> </w:t>
            </w:r>
          </w:p>
          <w:p w14:paraId="79F7E84D" w14:textId="77777777" w:rsidR="00AF53C0" w:rsidRPr="004F40E6" w:rsidRDefault="00AF53C0" w:rsidP="00AF53C0">
            <w:pPr>
              <w:ind w:left="0" w:hanging="2"/>
              <w:jc w:val="both"/>
            </w:pPr>
            <w:r w:rsidRPr="004F40E6">
              <w:t xml:space="preserve">Welspun’s ESG strategy revolves around reducing its carbon footprint, improving labor practices, and enhancing governance structures. The company has invested heavily in energy-efficient technologies and sustainable materials, targeting a significant reduction in </w:t>
            </w:r>
            <w:r w:rsidRPr="004F40E6">
              <w:lastRenderedPageBreak/>
              <w:t>greenhouse gas emissions. On the social front, Welspun focuses on worker safety, fair wages, and community development projects. Governance practices have been strengthened with improved transparency and ethical compliance measures.</w:t>
            </w:r>
            <w:r>
              <w:t xml:space="preserve"> Company</w:t>
            </w:r>
            <w:r w:rsidRPr="004F40E6">
              <w:t xml:space="preserve"> aligns its operations with several SDGs, including Responsible Consumption and Production (SDG 12) and Climate Action (SDG 13). The company’s initiatives include implementing waste reduction strategies, increasing the use of renewable energy, and engaging in community outreach programs.</w:t>
            </w:r>
          </w:p>
          <w:p w14:paraId="3697CBE2" w14:textId="7B3D8989" w:rsidR="00AF53C0" w:rsidRDefault="00AF53C0" w:rsidP="00AF53C0">
            <w:pPr>
              <w:ind w:left="0" w:hanging="2"/>
              <w:jc w:val="both"/>
            </w:pPr>
            <w:r>
              <w:t xml:space="preserve">Welspun’s commitment to ESG is evident in the way company has expedited their renewable energy transition to achieve the 100% </w:t>
            </w:r>
            <w:r w:rsidR="00AE394A">
              <w:t>renewable energy</w:t>
            </w:r>
            <w:r>
              <w:t xml:space="preserve"> goal before their stated target of 2030. Company </w:t>
            </w:r>
            <w:proofErr w:type="spellStart"/>
            <w:r>
              <w:t>analysed</w:t>
            </w:r>
            <w:proofErr w:type="spellEnd"/>
            <w:r>
              <w:t xml:space="preserve"> industry trends and global frameworks, including Sustainability Standards Board (SASB), Global Reporting Initiative (GRI), TCFD, SBT, ESG metrices, National Voluntary Guidelines (NVGs). Their facility at Anjar is freshwater positive and their recent industry leading score of 59 of DJSI by CSA (Corporate Sustainability Assessment) reaffirms company leadership on the ESG front. Welspun’s annual report for FY23 which surpassed $1 billion in revenues. The company collects</w:t>
            </w:r>
            <w:r w:rsidRPr="00760C84">
              <w:t xml:space="preserve"> </w:t>
            </w:r>
            <w:r>
              <w:t xml:space="preserve">data </w:t>
            </w:r>
            <w:r w:rsidRPr="00760C84">
              <w:t>throughout 30+ ESG KPIs in the E, S, and G domains</w:t>
            </w:r>
            <w:r>
              <w:t xml:space="preserve"> and has </w:t>
            </w:r>
            <w:r w:rsidRPr="00760C84">
              <w:t>dashboard outlining the Group's shift towards de-carbonization in relation to Scope 1, 2, and 3 emissions</w:t>
            </w:r>
            <w:r>
              <w:t>.</w:t>
            </w:r>
          </w:p>
          <w:p w14:paraId="787564F4" w14:textId="6E778087" w:rsidR="00AF53C0" w:rsidRDefault="00AF53C0" w:rsidP="00AF53C0">
            <w:pPr>
              <w:ind w:left="0" w:hanging="2"/>
              <w:jc w:val="both"/>
            </w:pPr>
            <w:r w:rsidRPr="004F40E6">
              <w:t xml:space="preserve">Welspun’s ESG reports </w:t>
            </w:r>
            <w:r>
              <w:t xml:space="preserve">since 2017 </w:t>
            </w:r>
            <w:r w:rsidRPr="004F40E6">
              <w:t xml:space="preserve">provide detailed disclosures on its environmental impact, social contributions, and governance practices. These reports are crucial for stakeholders and investors to assess the company's commitment to sustainable practices. </w:t>
            </w:r>
            <w:r>
              <w:t xml:space="preserve">In 2022-23 </w:t>
            </w:r>
            <w:r w:rsidRPr="001014B2">
              <w:t xml:space="preserve">Sustainalytics score for WLL </w:t>
            </w:r>
            <w:r>
              <w:t xml:space="preserve">was 11.3 </w:t>
            </w:r>
            <w:r w:rsidRPr="001014B2">
              <w:t xml:space="preserve">positioned </w:t>
            </w:r>
            <w:r>
              <w:t>them</w:t>
            </w:r>
            <w:r w:rsidRPr="001014B2">
              <w:t xml:space="preserve"> in the low-risk category</w:t>
            </w:r>
            <w:r>
              <w:t xml:space="preserve"> and ranked 9</w:t>
            </w:r>
            <w:r w:rsidRPr="001014B2">
              <w:rPr>
                <w:vertAlign w:val="superscript"/>
              </w:rPr>
              <w:t>th</w:t>
            </w:r>
            <w:r>
              <w:t xml:space="preserve"> </w:t>
            </w:r>
            <w:r w:rsidRPr="001014B2">
              <w:t>Among 202 companies in Sustainalytics ESG risk ratings</w:t>
            </w:r>
            <w:r>
              <w:t>. WLL used 75% c</w:t>
            </w:r>
            <w:r w:rsidRPr="001014B2">
              <w:t>otton from sustainable sources</w:t>
            </w:r>
            <w:r>
              <w:t xml:space="preserve"> and saved </w:t>
            </w:r>
            <w:r w:rsidRPr="001014B2">
              <w:t>4,73,497 GJ</w:t>
            </w:r>
            <w:r>
              <w:t xml:space="preserve"> e</w:t>
            </w:r>
            <w:r w:rsidRPr="001014B2">
              <w:t>lectricity</w:t>
            </w:r>
            <w:r>
              <w:t xml:space="preserve"> </w:t>
            </w:r>
            <w:r w:rsidRPr="001014B2">
              <w:t>through conservation initiatives</w:t>
            </w:r>
            <w:r>
              <w:t xml:space="preserve"> such as scope 1, scope 2 and scope 3 emissions. WLL was among top 5% o</w:t>
            </w:r>
            <w:r w:rsidRPr="001014B2">
              <w:t xml:space="preserve">f textile companies globally as per S&amp;P DJSI for 2022, with a score of 59 in the CSA </w:t>
            </w:r>
            <w:r w:rsidR="00AE394A">
              <w:t>in 2023</w:t>
            </w:r>
            <w:r w:rsidRPr="001014B2">
              <w:t xml:space="preserve"> (up 23% from last year)</w:t>
            </w:r>
            <w:r>
              <w:t xml:space="preserve"> </w:t>
            </w:r>
            <w:r w:rsidRPr="001014B2">
              <w:t>contribut</w:t>
            </w:r>
            <w:r w:rsidR="00AE394A">
              <w:t>ed</w:t>
            </w:r>
            <w:r w:rsidRPr="001014B2">
              <w:t xml:space="preserve"> to sustained profitability</w:t>
            </w:r>
            <w:r>
              <w:t xml:space="preserve">. </w:t>
            </w:r>
            <w:r w:rsidRPr="00216CEE">
              <w:t xml:space="preserve">In 2022-23, </w:t>
            </w:r>
            <w:r>
              <w:t>WLL</w:t>
            </w:r>
            <w:r w:rsidRPr="00216CEE">
              <w:t xml:space="preserve"> exceptional and distinctive value proposition fueled a robust performance.</w:t>
            </w:r>
            <w:r>
              <w:t xml:space="preserve"> 24% of employees in company </w:t>
            </w:r>
            <w:r w:rsidR="00AE394A">
              <w:t>were</w:t>
            </w:r>
            <w:r>
              <w:t xml:space="preserve"> women and </w:t>
            </w:r>
            <w:r w:rsidRPr="00216CEE">
              <w:t>benefitted 5,07,848 Lives through various CSR initiatives</w:t>
            </w:r>
            <w:r>
              <w:t>.</w:t>
            </w:r>
            <w:r w:rsidRPr="00216CEE">
              <w:t xml:space="preserve"> A key highlight was the remarkable success of domestic consumer business, which saw record-breaking revenues, experiencing a YoY growth rate of 34%.</w:t>
            </w:r>
          </w:p>
          <w:p w14:paraId="7C5DCA85" w14:textId="3B515125" w:rsidR="00AF53C0" w:rsidRPr="00AF53C0" w:rsidRDefault="00AF53C0" w:rsidP="00AF53C0">
            <w:pPr>
              <w:ind w:left="0" w:hanging="2"/>
              <w:jc w:val="both"/>
            </w:pPr>
            <w:r>
              <w:t>Stock price of WLL increased from</w:t>
            </w:r>
            <w:r w:rsidR="00AE394A">
              <w:t xml:space="preserve"> Rs.</w:t>
            </w:r>
            <w:r>
              <w:t xml:space="preserve"> 78.35 </w:t>
            </w:r>
            <w:r w:rsidR="00AE394A">
              <w:t>(</w:t>
            </w:r>
            <w:r>
              <w:t>1</w:t>
            </w:r>
            <w:r w:rsidRPr="008A1E7C">
              <w:rPr>
                <w:vertAlign w:val="superscript"/>
              </w:rPr>
              <w:t>st</w:t>
            </w:r>
            <w:r>
              <w:t xml:space="preserve"> October 2022</w:t>
            </w:r>
            <w:r w:rsidR="00AE394A">
              <w:t>)</w:t>
            </w:r>
            <w:r>
              <w:t xml:space="preserve"> to </w:t>
            </w:r>
            <w:r w:rsidR="00AE394A">
              <w:t xml:space="preserve">Rs. </w:t>
            </w:r>
            <w:r>
              <w:t xml:space="preserve">192.99 </w:t>
            </w:r>
            <w:r w:rsidR="00AE394A">
              <w:t>(</w:t>
            </w:r>
            <w:r>
              <w:t>1</w:t>
            </w:r>
            <w:r w:rsidRPr="008A1E7C">
              <w:rPr>
                <w:vertAlign w:val="superscript"/>
              </w:rPr>
              <w:t>st</w:t>
            </w:r>
            <w:r>
              <w:t xml:space="preserve"> September 2024</w:t>
            </w:r>
            <w:r w:rsidR="00AE394A">
              <w:t>)</w:t>
            </w:r>
            <w:r>
              <w:t xml:space="preserve">. </w:t>
            </w:r>
            <w:r w:rsidRPr="004F40E6">
              <w:t>Despite the increased costs associated with implementing ESG measures, Welspun has observed a positive correlation between its ESG performance and financial stability, with an increase in investor confidence and stock market performance.</w:t>
            </w:r>
            <w:r>
              <w:t xml:space="preserve"> </w:t>
            </w:r>
          </w:p>
        </w:tc>
        <w:tc>
          <w:tcPr>
            <w:tcW w:w="992" w:type="dxa"/>
          </w:tcPr>
          <w:p w14:paraId="352F3A7E" w14:textId="77777777" w:rsidR="00AF53C0" w:rsidRPr="00934539" w:rsidRDefault="00AF53C0" w:rsidP="00516E40">
            <w:pPr>
              <w:spacing w:after="0" w:line="240" w:lineRule="auto"/>
              <w:ind w:left="0" w:hanging="2"/>
              <w:jc w:val="center"/>
              <w:rPr>
                <w:rFonts w:ascii="Times New Roman" w:eastAsia="Times New Roman" w:hAnsi="Times New Roman" w:cs="Times New Roman"/>
                <w:b/>
                <w:sz w:val="24"/>
                <w:szCs w:val="24"/>
              </w:rPr>
            </w:pPr>
          </w:p>
        </w:tc>
      </w:tr>
      <w:tr w:rsidR="00AF53C0" w:rsidRPr="00934539" w14:paraId="4DC17362" w14:textId="77777777" w:rsidTr="00516E40">
        <w:trPr>
          <w:trHeight w:val="1140"/>
        </w:trPr>
        <w:tc>
          <w:tcPr>
            <w:tcW w:w="1135" w:type="dxa"/>
          </w:tcPr>
          <w:p w14:paraId="226937A3" w14:textId="77777777" w:rsidR="00AF53C0" w:rsidRPr="00934539" w:rsidRDefault="00AF53C0" w:rsidP="00516E4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34" w:type="dxa"/>
          </w:tcPr>
          <w:p w14:paraId="7780C666" w14:textId="77777777" w:rsidR="00AF53C0" w:rsidRPr="00AF53C0" w:rsidRDefault="00AF53C0" w:rsidP="00AF53C0">
            <w:pPr>
              <w:suppressAutoHyphens w:val="0"/>
              <w:spacing w:after="160" w:line="259" w:lineRule="auto"/>
              <w:ind w:leftChars="0" w:left="0" w:firstLineChars="0" w:firstLine="0"/>
              <w:textDirection w:val="lrTb"/>
              <w:textAlignment w:val="auto"/>
              <w:outlineLvl w:val="9"/>
            </w:pPr>
            <w:r w:rsidRPr="00AF53C0">
              <w:t>What role do Welspun’s initiatives play in achieving the Sustainable Development Goals (SDGs), and how are these initiatives reflected in their ESG reporting.</w:t>
            </w:r>
          </w:p>
          <w:p w14:paraId="388F24F6" w14:textId="47EA02F8" w:rsidR="00AF53C0" w:rsidRPr="00AF53C0" w:rsidRDefault="00AF53C0" w:rsidP="00516E40">
            <w:pPr>
              <w:spacing w:after="0" w:line="240" w:lineRule="auto"/>
              <w:ind w:left="0" w:hanging="2"/>
              <w:jc w:val="both"/>
              <w:rPr>
                <w:rFonts w:ascii="Times New Roman" w:eastAsia="Times New Roman" w:hAnsi="Times New Roman" w:cs="Times New Roman"/>
                <w:sz w:val="24"/>
                <w:szCs w:val="24"/>
              </w:rPr>
            </w:pPr>
          </w:p>
        </w:tc>
        <w:tc>
          <w:tcPr>
            <w:tcW w:w="992" w:type="dxa"/>
          </w:tcPr>
          <w:p w14:paraId="6689C117" w14:textId="4AE927F9" w:rsidR="00AF53C0" w:rsidRPr="00E816D5" w:rsidRDefault="00AF53C0" w:rsidP="00516E4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M</w:t>
            </w:r>
            <w:r w:rsidRPr="00E816D5">
              <w:rPr>
                <w:rFonts w:ascii="Times New Roman" w:eastAsia="Times New Roman" w:hAnsi="Times New Roman" w:cs="Times New Roman"/>
                <w:sz w:val="24"/>
                <w:szCs w:val="24"/>
              </w:rPr>
              <w:t>arks</w:t>
            </w:r>
          </w:p>
        </w:tc>
      </w:tr>
      <w:tr w:rsidR="00AF53C0" w:rsidRPr="00934539" w14:paraId="156F02C0" w14:textId="77777777" w:rsidTr="00516E40">
        <w:trPr>
          <w:trHeight w:val="1140"/>
        </w:trPr>
        <w:tc>
          <w:tcPr>
            <w:tcW w:w="1135" w:type="dxa"/>
          </w:tcPr>
          <w:p w14:paraId="11746340" w14:textId="77777777" w:rsidR="00AF53C0" w:rsidRPr="00934539" w:rsidRDefault="00AF53C0" w:rsidP="00516E4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39105043" w14:textId="77777777" w:rsidR="00AF53C0" w:rsidRPr="00934539" w:rsidRDefault="00AF53C0" w:rsidP="00516E40">
            <w:pPr>
              <w:spacing w:after="0" w:line="240" w:lineRule="auto"/>
              <w:ind w:left="0" w:hanging="2"/>
              <w:jc w:val="both"/>
              <w:rPr>
                <w:rFonts w:ascii="Times New Roman" w:eastAsia="Times New Roman" w:hAnsi="Times New Roman" w:cs="Times New Roman"/>
                <w:sz w:val="24"/>
                <w:szCs w:val="24"/>
              </w:rPr>
            </w:pPr>
          </w:p>
          <w:p w14:paraId="41E3F527" w14:textId="77777777" w:rsidR="00AF53C0" w:rsidRPr="00934539" w:rsidRDefault="00AF53C0" w:rsidP="00516E40">
            <w:pPr>
              <w:spacing w:after="0" w:line="240" w:lineRule="auto"/>
              <w:ind w:left="0" w:hanging="2"/>
              <w:jc w:val="both"/>
              <w:rPr>
                <w:rFonts w:ascii="Times New Roman" w:eastAsia="Times New Roman" w:hAnsi="Times New Roman" w:cs="Times New Roman"/>
                <w:sz w:val="24"/>
                <w:szCs w:val="24"/>
              </w:rPr>
            </w:pPr>
          </w:p>
        </w:tc>
        <w:tc>
          <w:tcPr>
            <w:tcW w:w="8334" w:type="dxa"/>
          </w:tcPr>
          <w:p w14:paraId="4388DE3F" w14:textId="77777777" w:rsidR="00AF53C0" w:rsidRPr="00AF53C0" w:rsidRDefault="00AF53C0" w:rsidP="00AF53C0">
            <w:pPr>
              <w:suppressAutoHyphens w:val="0"/>
              <w:spacing w:after="160" w:line="259" w:lineRule="auto"/>
              <w:ind w:leftChars="0" w:left="0" w:firstLineChars="0" w:firstLine="0"/>
              <w:textDirection w:val="lrTb"/>
              <w:textAlignment w:val="auto"/>
              <w:outlineLvl w:val="9"/>
            </w:pPr>
            <w:r w:rsidRPr="00AF53C0">
              <w:t>Discuss the relationship between strong ESG performance and financial performance. Write note on any two standard ESG reporting framework which might impact on sustainability principles, stock price and investor confidence for WLL.</w:t>
            </w:r>
          </w:p>
          <w:p w14:paraId="65981A0C" w14:textId="77777777" w:rsidR="00AF53C0" w:rsidRPr="00AF53C0" w:rsidRDefault="00AF53C0" w:rsidP="00516E40">
            <w:pPr>
              <w:spacing w:after="0" w:line="240" w:lineRule="auto"/>
              <w:ind w:left="0" w:hanging="2"/>
              <w:jc w:val="both"/>
              <w:rPr>
                <w:rFonts w:ascii="Times New Roman" w:eastAsia="Times New Roman" w:hAnsi="Times New Roman" w:cs="Times New Roman"/>
                <w:sz w:val="24"/>
                <w:szCs w:val="24"/>
              </w:rPr>
            </w:pPr>
          </w:p>
        </w:tc>
        <w:tc>
          <w:tcPr>
            <w:tcW w:w="992" w:type="dxa"/>
          </w:tcPr>
          <w:p w14:paraId="172C3161" w14:textId="793763FD" w:rsidR="00AF53C0" w:rsidRPr="00E816D5" w:rsidRDefault="00AF53C0" w:rsidP="00516E4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816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E816D5">
              <w:rPr>
                <w:rFonts w:ascii="Times New Roman" w:eastAsia="Times New Roman" w:hAnsi="Times New Roman" w:cs="Times New Roman"/>
                <w:sz w:val="24"/>
                <w:szCs w:val="24"/>
              </w:rPr>
              <w:t>arks</w:t>
            </w:r>
          </w:p>
        </w:tc>
      </w:tr>
    </w:tbl>
    <w:p w14:paraId="2F44669C" w14:textId="77777777" w:rsidR="00B91359" w:rsidRDefault="00B91359" w:rsidP="00AF53C0">
      <w:pPr>
        <w:ind w:leftChars="0" w:left="0" w:firstLineChars="0" w:firstLine="0"/>
      </w:pPr>
    </w:p>
    <w:sectPr w:rsidR="00B9135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D1BEE"/>
    <w:multiLevelType w:val="multilevel"/>
    <w:tmpl w:val="55D8B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9B5EF8"/>
    <w:multiLevelType w:val="hybridMultilevel"/>
    <w:tmpl w:val="3182A148"/>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7C6E69FC"/>
    <w:multiLevelType w:val="hybridMultilevel"/>
    <w:tmpl w:val="576E6F88"/>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num w:numId="1" w16cid:durableId="517276806">
    <w:abstractNumId w:val="1"/>
  </w:num>
  <w:num w:numId="2" w16cid:durableId="622347737">
    <w:abstractNumId w:val="2"/>
  </w:num>
  <w:num w:numId="3" w16cid:durableId="8608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C0"/>
    <w:rsid w:val="008305E4"/>
    <w:rsid w:val="00AE394A"/>
    <w:rsid w:val="00AF53C0"/>
    <w:rsid w:val="00B03B0C"/>
    <w:rsid w:val="00B91359"/>
    <w:rsid w:val="00C85F3F"/>
    <w:rsid w:val="00D27B1D"/>
    <w:rsid w:val="00D722A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86443"/>
  <w15:chartTrackingRefBased/>
  <w15:docId w15:val="{1EC5569E-12AF-4DF9-ADE0-75A2148B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IN"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C0"/>
    <w:pPr>
      <w:suppressAutoHyphens/>
      <w:spacing w:after="200" w:line="276" w:lineRule="auto"/>
      <w:ind w:leftChars="-1" w:left="-1" w:hangingChars="1" w:hanging="1"/>
      <w:textDirection w:val="btLr"/>
      <w:textAlignment w:val="top"/>
      <w:outlineLvl w:val="0"/>
    </w:pPr>
    <w:rPr>
      <w:rFonts w:ascii="Calibri" w:eastAsia="Calibri" w:hAnsi="Calibri" w:cs="Calibri"/>
      <w:position w:val="-1"/>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3C0"/>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823</Words>
  <Characters>4844</Characters>
  <Application>Microsoft Office Word</Application>
  <DocSecurity>0</DocSecurity>
  <Lines>100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SATYENDRA  UPADHYAY</dc:creator>
  <cp:keywords/>
  <dc:description/>
  <cp:lastModifiedBy>Ashish Mohite</cp:lastModifiedBy>
  <cp:revision>2</cp:revision>
  <cp:lastPrinted>2024-09-18T11:30:00Z</cp:lastPrinted>
  <dcterms:created xsi:type="dcterms:W3CDTF">2024-09-18T11:31:00Z</dcterms:created>
  <dcterms:modified xsi:type="dcterms:W3CDTF">2024-09-18T11:31:00Z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39e3eab58f06f9623c1fd360b6eaa075bdce708981da12e5ce91edc8c5b13031</vt:lpwstr>
  </property>
</Properties>
</file>